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jc w:val="left"/>
        <w:rPr>
          <w:rStyle w:val="7"/>
          <w:rFonts w:hint="eastAsia" w:ascii="宋体" w:hAnsi="宋体" w:eastAsia="宋体" w:cs="宋体"/>
          <w:color w:val="000000"/>
          <w:kern w:val="0"/>
          <w:sz w:val="22"/>
          <w:szCs w:val="22"/>
          <w:lang w:val="en-US" w:eastAsia="zh-CN" w:bidi="ar"/>
        </w:rPr>
      </w:pPr>
      <w:r>
        <w:rPr>
          <w:rStyle w:val="7"/>
          <w:rFonts w:hint="eastAsia" w:ascii="宋体" w:hAnsi="宋体" w:eastAsia="宋体" w:cs="宋体"/>
          <w:color w:val="000000"/>
          <w:kern w:val="0"/>
          <w:sz w:val="22"/>
          <w:szCs w:val="22"/>
          <w:lang w:val="en-US" w:eastAsia="zh-CN" w:bidi="ar"/>
        </w:rPr>
        <w:t>单项选择题（共20题，每题1分，每题的备选项中，只有一个符合题意）</w:t>
      </w:r>
    </w:p>
    <w:p>
      <w:pPr>
        <w:keepNext w:val="0"/>
        <w:keepLines w:val="0"/>
        <w:widowControl/>
        <w:numPr>
          <w:ilvl w:val="0"/>
          <w:numId w:val="0"/>
        </w:numPr>
        <w:suppressLineNumbers w:val="0"/>
        <w:jc w:val="left"/>
        <w:rPr>
          <w:rFonts w:hint="eastAsia" w:ascii="宋体" w:hAnsi="宋体" w:eastAsia="宋体" w:cs="宋体"/>
          <w:kern w:val="0"/>
          <w:sz w:val="22"/>
          <w:szCs w:val="22"/>
          <w:lang w:val="en-US" w:eastAsia="zh-CN" w:bidi="ar"/>
        </w:rPr>
      </w:pPr>
    </w:p>
    <w:p>
      <w:pPr>
        <w:keepNext w:val="0"/>
        <w:keepLines w:val="0"/>
        <w:widowControl/>
        <w:numPr>
          <w:ilvl w:val="0"/>
          <w:numId w:val="2"/>
        </w:numPr>
        <w:suppressLineNumbers w:val="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常用建筑结构体系中，应用高度最高的结构体系是（  ）。</w:t>
      </w:r>
    </w:p>
    <w:p>
      <w:pPr>
        <w:keepNext w:val="0"/>
        <w:keepLines w:val="0"/>
        <w:widowControl/>
        <w:numPr>
          <w:ilvl w:val="0"/>
          <w:numId w:val="3"/>
        </w:numPr>
        <w:suppressLineNumbers w:val="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筒体</w:t>
      </w:r>
    </w:p>
    <w:p>
      <w:pPr>
        <w:keepNext w:val="0"/>
        <w:keepLines w:val="0"/>
        <w:widowControl/>
        <w:numPr>
          <w:ilvl w:val="0"/>
          <w:numId w:val="3"/>
        </w:numPr>
        <w:suppressLineNumbers w:val="0"/>
        <w:jc w:val="left"/>
      </w:pPr>
      <w:r>
        <w:rPr>
          <w:rFonts w:hint="eastAsia" w:ascii="宋体" w:hAnsi="宋体" w:eastAsia="宋体" w:cs="宋体"/>
          <w:kern w:val="0"/>
          <w:sz w:val="22"/>
          <w:szCs w:val="22"/>
          <w:lang w:val="en-US" w:eastAsia="zh-CN" w:bidi="ar"/>
        </w:rPr>
        <w:t>B.剪力墙</w:t>
      </w:r>
    </w:p>
    <w:p>
      <w:pPr>
        <w:keepNext w:val="0"/>
        <w:keepLines w:val="0"/>
        <w:widowControl/>
        <w:numPr>
          <w:ilvl w:val="0"/>
          <w:numId w:val="3"/>
        </w:numPr>
        <w:suppressLineNumbers w:val="0"/>
        <w:jc w:val="left"/>
      </w:pPr>
      <w:r>
        <w:rPr>
          <w:rFonts w:hint="eastAsia" w:ascii="宋体" w:hAnsi="宋体" w:eastAsia="宋体" w:cs="宋体"/>
          <w:kern w:val="0"/>
          <w:sz w:val="22"/>
          <w:szCs w:val="22"/>
          <w:lang w:val="en-US" w:eastAsia="zh-CN" w:bidi="ar"/>
        </w:rPr>
        <w:t>C.框架-剪力墙</w:t>
      </w:r>
    </w:p>
    <w:p>
      <w:pPr>
        <w:keepNext w:val="0"/>
        <w:keepLines w:val="0"/>
        <w:widowControl/>
        <w:numPr>
          <w:ilvl w:val="0"/>
          <w:numId w:val="3"/>
        </w:numPr>
        <w:suppressLineNumbers w:val="0"/>
        <w:jc w:val="left"/>
      </w:pPr>
      <w:r>
        <w:rPr>
          <w:rFonts w:hint="eastAsia" w:ascii="宋体" w:hAnsi="宋体" w:eastAsia="宋体" w:cs="宋体"/>
          <w:kern w:val="0"/>
          <w:sz w:val="22"/>
          <w:szCs w:val="22"/>
          <w:lang w:val="en-US" w:eastAsia="zh-CN" w:bidi="ar"/>
        </w:rPr>
        <w:t>D.框架结构</w:t>
      </w:r>
    </w:p>
    <w:p>
      <w:pPr>
        <w:keepNext w:val="0"/>
        <w:keepLines w:val="0"/>
        <w:widowControl/>
        <w:numPr>
          <w:ilvl w:val="0"/>
          <w:numId w:val="0"/>
        </w:numPr>
        <w:suppressLineNumbers w:val="0"/>
        <w:jc w:val="left"/>
      </w:pPr>
      <w:r>
        <w:rPr>
          <w:rFonts w:hint="eastAsia" w:ascii="宋体" w:hAnsi="宋体" w:eastAsia="宋体" w:cs="宋体"/>
          <w:kern w:val="0"/>
          <w:sz w:val="22"/>
          <w:szCs w:val="22"/>
          <w:lang w:val="en-US" w:eastAsia="zh-CN" w:bidi="ar"/>
        </w:rPr>
        <w:t>【答案】A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在非地震区，框架结构一般不超过15层。剪力墙体系适用于小开间的住宅和旅馆等，在180m高度范围内都可以适用。框架-剪力墙结构可以适用于不超过170m高的建筑。筒体结构可以适用于高度不超过300m的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参见教材P17-18。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结构梁上砌筑砌体隔墙，该梁所受荷载属于（  ）。</w:t>
      </w:r>
    </w:p>
    <w:p>
      <w:pPr>
        <w:keepNext w:val="0"/>
        <w:keepLines w:val="0"/>
        <w:widowControl/>
        <w:numPr>
          <w:ilvl w:val="0"/>
          <w:numId w:val="4"/>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均布荷载</w:t>
      </w:r>
    </w:p>
    <w:p>
      <w:pPr>
        <w:keepNext w:val="0"/>
        <w:keepLines w:val="0"/>
        <w:widowControl/>
        <w:numPr>
          <w:ilvl w:val="0"/>
          <w:numId w:val="4"/>
        </w:numPr>
        <w:suppressLineNumbers w:val="0"/>
        <w:ind w:leftChars="0"/>
        <w:jc w:val="left"/>
      </w:pPr>
      <w:r>
        <w:rPr>
          <w:rFonts w:hint="eastAsia" w:ascii="宋体" w:hAnsi="宋体" w:eastAsia="宋体" w:cs="宋体"/>
          <w:kern w:val="0"/>
          <w:sz w:val="22"/>
          <w:szCs w:val="22"/>
          <w:lang w:val="en-US" w:eastAsia="zh-CN" w:bidi="ar"/>
        </w:rPr>
        <w:t>B.线荷载</w:t>
      </w:r>
    </w:p>
    <w:p>
      <w:pPr>
        <w:keepNext w:val="0"/>
        <w:keepLines w:val="0"/>
        <w:widowControl/>
        <w:numPr>
          <w:ilvl w:val="0"/>
          <w:numId w:val="4"/>
        </w:numPr>
        <w:suppressLineNumbers w:val="0"/>
        <w:ind w:leftChars="0"/>
        <w:jc w:val="left"/>
      </w:pPr>
      <w:r>
        <w:rPr>
          <w:rFonts w:hint="eastAsia" w:ascii="宋体" w:hAnsi="宋体" w:eastAsia="宋体" w:cs="宋体"/>
          <w:kern w:val="0"/>
          <w:sz w:val="22"/>
          <w:szCs w:val="22"/>
          <w:lang w:val="en-US" w:eastAsia="zh-CN" w:bidi="ar"/>
        </w:rPr>
        <w:t>C.集中荷载</w:t>
      </w:r>
    </w:p>
    <w:p>
      <w:pPr>
        <w:keepNext w:val="0"/>
        <w:keepLines w:val="0"/>
        <w:widowControl/>
        <w:numPr>
          <w:ilvl w:val="0"/>
          <w:numId w:val="4"/>
        </w:numPr>
        <w:suppressLineNumbers w:val="0"/>
        <w:ind w:leftChars="0"/>
        <w:jc w:val="left"/>
      </w:pPr>
      <w:r>
        <w:rPr>
          <w:rFonts w:hint="eastAsia" w:ascii="宋体" w:hAnsi="宋体" w:eastAsia="宋体" w:cs="宋体"/>
          <w:kern w:val="0"/>
          <w:sz w:val="22"/>
          <w:szCs w:val="22"/>
          <w:lang w:val="en-US" w:eastAsia="zh-CN" w:bidi="ar"/>
        </w:rPr>
        <w:t>D.活荷载</w:t>
      </w:r>
    </w:p>
    <w:p>
      <w:pPr>
        <w:keepNext w:val="0"/>
        <w:keepLines w:val="0"/>
        <w:widowControl/>
        <w:numPr>
          <w:ilvl w:val="0"/>
          <w:numId w:val="0"/>
        </w:numPr>
        <w:suppressLineNumbers w:val="0"/>
        <w:jc w:val="left"/>
      </w:pPr>
      <w:r>
        <w:rPr>
          <w:rFonts w:hint="eastAsia" w:ascii="宋体" w:hAnsi="宋体" w:eastAsia="宋体" w:cs="宋体"/>
          <w:kern w:val="0"/>
          <w:sz w:val="22"/>
          <w:szCs w:val="22"/>
          <w:lang w:val="en-US" w:eastAsia="zh-CN" w:bidi="ar"/>
        </w:rPr>
        <w:t>【答案】B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【解析】建筑物原有的楼面或层面上的各种面荷载传到梁上或条形基础上时，可简化为单位长度上的分布荷载，称为线荷载。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常用较高要求抗震结构的纵向受力普通钢筋品种是（  ）。</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A.HRBB500</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B.HRBF500</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C.HRB500E</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D.HRB600</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【解析】国家标准规定，有较高要求的抗震结构适用的钢筋牌号为带肋钢筋牌号后加E的钢筋。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参见教材P39。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施工现场常用坍落度试验来测定混凝土（  ）指标。</w:t>
      </w:r>
    </w:p>
    <w:p>
      <w:pPr>
        <w:keepNext w:val="0"/>
        <w:keepLines w:val="0"/>
        <w:widowControl/>
        <w:numPr>
          <w:ilvl w:val="0"/>
          <w:numId w:val="5"/>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流动性</w:t>
      </w:r>
    </w:p>
    <w:p>
      <w:pPr>
        <w:keepNext w:val="0"/>
        <w:keepLines w:val="0"/>
        <w:widowControl/>
        <w:numPr>
          <w:ilvl w:val="0"/>
          <w:numId w:val="0"/>
        </w:numPr>
        <w:suppressLineNumbers w:val="0"/>
        <w:jc w:val="left"/>
      </w:pPr>
      <w:r>
        <w:rPr>
          <w:rFonts w:hint="eastAsia" w:ascii="宋体" w:hAnsi="宋体" w:eastAsia="宋体" w:cs="宋体"/>
          <w:kern w:val="0"/>
          <w:sz w:val="22"/>
          <w:szCs w:val="22"/>
          <w:lang w:val="en-US" w:eastAsia="zh-CN" w:bidi="ar"/>
        </w:rPr>
        <w:t>B.黏聚性</w:t>
      </w:r>
    </w:p>
    <w:p>
      <w:pPr>
        <w:keepNext w:val="0"/>
        <w:keepLines w:val="0"/>
        <w:widowControl/>
        <w:numPr>
          <w:ilvl w:val="0"/>
          <w:numId w:val="0"/>
        </w:numPr>
        <w:suppressLineNumbers w:val="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C.保水性</w:t>
      </w:r>
    </w:p>
    <w:p>
      <w:pPr>
        <w:keepNext w:val="0"/>
        <w:keepLines w:val="0"/>
        <w:widowControl/>
        <w:numPr>
          <w:ilvl w:val="0"/>
          <w:numId w:val="0"/>
        </w:numPr>
        <w:suppressLineNumbers w:val="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D.耐久性</w:t>
      </w:r>
    </w:p>
    <w:p>
      <w:pPr>
        <w:keepNext w:val="0"/>
        <w:keepLines w:val="0"/>
        <w:widowControl/>
        <w:numPr>
          <w:ilvl w:val="0"/>
          <w:numId w:val="0"/>
        </w:numPr>
        <w:suppressLineNumbers w:val="0"/>
        <w:jc w:val="left"/>
      </w:pPr>
      <w:r>
        <w:rPr>
          <w:rFonts w:hint="eastAsia" w:ascii="宋体" w:hAnsi="宋体" w:eastAsia="宋体" w:cs="宋体"/>
          <w:kern w:val="0"/>
          <w:sz w:val="22"/>
          <w:szCs w:val="22"/>
          <w:lang w:val="en-US" w:eastAsia="zh-CN" w:bidi="ar"/>
        </w:rPr>
        <w:t>【答案】A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【解析】工地上常用坍落度试验来测定混凝土拌合物的坍落度或坍落扩展度，作为流动性指标，坍落度或坍落扩展度愈大表示流动性愈大。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参见教材P44。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混凝土立方体抗压强度标准试件的边长（  ）mm。</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A.7O.7</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B.100</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C.150</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D.200</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【解析】混凝土立方体抗压标准强度（或称立方体抗压强度标准值）是指按标准方法制作和养护的边长为150mm的立方体试件。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参见教材P45。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在抢修工程中常用的混凝土外加剂是（  ）。</w:t>
      </w:r>
    </w:p>
    <w:p>
      <w:pPr>
        <w:keepNext w:val="0"/>
        <w:keepLines w:val="0"/>
        <w:widowControl/>
        <w:numPr>
          <w:ilvl w:val="0"/>
          <w:numId w:val="6"/>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减水剂</w:t>
      </w:r>
    </w:p>
    <w:p>
      <w:pPr>
        <w:keepNext w:val="0"/>
        <w:keepLines w:val="0"/>
        <w:widowControl/>
        <w:numPr>
          <w:ilvl w:val="0"/>
          <w:numId w:val="6"/>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早强剂</w:t>
      </w:r>
    </w:p>
    <w:p>
      <w:pPr>
        <w:keepNext w:val="0"/>
        <w:keepLines w:val="0"/>
        <w:widowControl/>
        <w:numPr>
          <w:ilvl w:val="0"/>
          <w:numId w:val="6"/>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缓凝剂</w:t>
      </w:r>
    </w:p>
    <w:p>
      <w:pPr>
        <w:keepNext w:val="0"/>
        <w:keepLines w:val="0"/>
        <w:widowControl/>
        <w:numPr>
          <w:ilvl w:val="0"/>
          <w:numId w:val="6"/>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膨胀剂</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【解析】早强剂可加速混凝土硬化和早期强度发展，缩短养护周期，加快施工进度，提高模板周转率，多用于冬期施工或紧急抢修工程。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参见教材P47。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关于中空玻璃的特性正确的是（  ）。</w:t>
      </w:r>
    </w:p>
    <w:p>
      <w:pPr>
        <w:keepNext w:val="0"/>
        <w:keepLines w:val="0"/>
        <w:widowControl/>
        <w:numPr>
          <w:ilvl w:val="0"/>
          <w:numId w:val="7"/>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机械强度高</w:t>
      </w:r>
    </w:p>
    <w:p>
      <w:pPr>
        <w:keepNext w:val="0"/>
        <w:keepLines w:val="0"/>
        <w:widowControl/>
        <w:numPr>
          <w:ilvl w:val="0"/>
          <w:numId w:val="7"/>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隔声性能好</w:t>
      </w:r>
    </w:p>
    <w:p>
      <w:pPr>
        <w:keepNext w:val="0"/>
        <w:keepLines w:val="0"/>
        <w:widowControl/>
        <w:numPr>
          <w:ilvl w:val="0"/>
          <w:numId w:val="7"/>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弹性好</w:t>
      </w:r>
    </w:p>
    <w:p>
      <w:pPr>
        <w:keepNext w:val="0"/>
        <w:keepLines w:val="0"/>
        <w:widowControl/>
        <w:numPr>
          <w:ilvl w:val="0"/>
          <w:numId w:val="7"/>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单向透视性</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【解析】中空玻璃的特性包括光学性能良好，保温隔热、降低能耗，防结露，良好的隔声性能。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参见教材P62。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依据建筑场地的施工控制方格网放线，最为方便的方法是（  ）。</w:t>
      </w:r>
    </w:p>
    <w:p>
      <w:pPr>
        <w:keepNext w:val="0"/>
        <w:keepLines w:val="0"/>
        <w:widowControl/>
        <w:numPr>
          <w:ilvl w:val="0"/>
          <w:numId w:val="8"/>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极坐标法</w:t>
      </w:r>
    </w:p>
    <w:p>
      <w:pPr>
        <w:keepNext w:val="0"/>
        <w:keepLines w:val="0"/>
        <w:widowControl/>
        <w:numPr>
          <w:ilvl w:val="0"/>
          <w:numId w:val="8"/>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角度前方交会法</w:t>
      </w:r>
    </w:p>
    <w:p>
      <w:pPr>
        <w:keepNext w:val="0"/>
        <w:keepLines w:val="0"/>
        <w:widowControl/>
        <w:numPr>
          <w:ilvl w:val="0"/>
          <w:numId w:val="8"/>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直角坐标法</w:t>
      </w:r>
    </w:p>
    <w:p>
      <w:pPr>
        <w:keepNext w:val="0"/>
        <w:keepLines w:val="0"/>
        <w:widowControl/>
        <w:numPr>
          <w:ilvl w:val="0"/>
          <w:numId w:val="8"/>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方向线交会法</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【解析】当建筑场地的施工控制网为方格网或轴线形式时，采用直角坐标法放线最为方便。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通常基坑验槽主要采用的方法是（  ）。</w:t>
      </w:r>
    </w:p>
    <w:p>
      <w:pPr>
        <w:keepNext w:val="0"/>
        <w:keepLines w:val="0"/>
        <w:widowControl/>
        <w:numPr>
          <w:ilvl w:val="0"/>
          <w:numId w:val="9"/>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观察法</w:t>
      </w:r>
    </w:p>
    <w:p>
      <w:pPr>
        <w:keepNext w:val="0"/>
        <w:keepLines w:val="0"/>
        <w:widowControl/>
        <w:numPr>
          <w:ilvl w:val="0"/>
          <w:numId w:val="9"/>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钎探法</w:t>
      </w:r>
    </w:p>
    <w:p>
      <w:pPr>
        <w:keepNext w:val="0"/>
        <w:keepLines w:val="0"/>
        <w:widowControl/>
        <w:numPr>
          <w:ilvl w:val="0"/>
          <w:numId w:val="9"/>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丈量法</w:t>
      </w:r>
    </w:p>
    <w:p>
      <w:pPr>
        <w:keepNext w:val="0"/>
        <w:keepLines w:val="0"/>
        <w:widowControl/>
        <w:numPr>
          <w:ilvl w:val="0"/>
          <w:numId w:val="9"/>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动力触探</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【解析】验槽方法通常主要采用观察法，而对于基底以下的土层不可见部位，要先辅以钎探法配合共同完成。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参见教材P91。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设有钢筋混凝土构造柱的抗震多层砖房，施工顺序正确的是（  ）。</w:t>
      </w:r>
    </w:p>
    <w:p>
      <w:pPr>
        <w:keepNext w:val="0"/>
        <w:keepLines w:val="0"/>
        <w:widowControl/>
        <w:numPr>
          <w:ilvl w:val="0"/>
          <w:numId w:val="1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砌砖墙→绑扎钢筋→浇筑混凝土</w:t>
      </w:r>
    </w:p>
    <w:p>
      <w:pPr>
        <w:keepNext w:val="0"/>
        <w:keepLines w:val="0"/>
        <w:widowControl/>
        <w:numPr>
          <w:ilvl w:val="0"/>
          <w:numId w:val="10"/>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绑扎钢筋→浇筑混凝土→砌砖墙</w:t>
      </w:r>
    </w:p>
    <w:p>
      <w:pPr>
        <w:keepNext w:val="0"/>
        <w:keepLines w:val="0"/>
        <w:widowControl/>
        <w:numPr>
          <w:ilvl w:val="0"/>
          <w:numId w:val="10"/>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绑扎钢筋→砌砖墙→浇筑混凝土</w:t>
      </w:r>
    </w:p>
    <w:p>
      <w:pPr>
        <w:keepNext w:val="0"/>
        <w:keepLines w:val="0"/>
        <w:widowControl/>
        <w:numPr>
          <w:ilvl w:val="0"/>
          <w:numId w:val="10"/>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浇筑混凝土→绑扎钢筋→砌砖墙</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【解析】设有钢筋混凝土构造柱的抗震多层砖房，应先绑扎钢筋，而后砌砖墙，最后浇筑混凝土。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参见教材P116。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倒置式屋面基本构造自下而上顺序（  ）。</w:t>
      </w:r>
    </w:p>
    <w:p>
      <w:pPr>
        <w:keepNext w:val="0"/>
        <w:keepLines w:val="0"/>
        <w:widowControl/>
        <w:numPr>
          <w:ilvl w:val="0"/>
          <w:numId w:val="0"/>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①结构层、②保温层、③保护层、④找坡层、⑤找平层、⑥防水层</w:t>
      </w:r>
    </w:p>
    <w:p>
      <w:pPr>
        <w:keepNext w:val="0"/>
        <w:keepLines w:val="0"/>
        <w:widowControl/>
        <w:numPr>
          <w:ilvl w:val="0"/>
          <w:numId w:val="11"/>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①②③④⑤⑥</w:t>
      </w:r>
    </w:p>
    <w:p>
      <w:pPr>
        <w:keepNext w:val="0"/>
        <w:keepLines w:val="0"/>
        <w:widowControl/>
        <w:numPr>
          <w:ilvl w:val="0"/>
          <w:numId w:val="11"/>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①④⑤⑥②③</w:t>
      </w:r>
    </w:p>
    <w:p>
      <w:pPr>
        <w:keepNext w:val="0"/>
        <w:keepLines w:val="0"/>
        <w:widowControl/>
        <w:numPr>
          <w:ilvl w:val="0"/>
          <w:numId w:val="11"/>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①②④⑤⑥③</w:t>
      </w:r>
    </w:p>
    <w:p>
      <w:pPr>
        <w:keepNext w:val="0"/>
        <w:keepLines w:val="0"/>
        <w:widowControl/>
        <w:numPr>
          <w:ilvl w:val="0"/>
          <w:numId w:val="11"/>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①④⑤②③⑥</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【解析】倒置式屋面基本构造自下而上宜由结构层、找坡层、找平层、防水层、保温层及保护层组成。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参见教材P167。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全玻幕墙面板与玻璃肋的连结用胶应用（  ）。</w:t>
      </w:r>
    </w:p>
    <w:p>
      <w:pPr>
        <w:keepNext w:val="0"/>
        <w:keepLines w:val="0"/>
        <w:widowControl/>
        <w:numPr>
          <w:ilvl w:val="0"/>
          <w:numId w:val="12"/>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硅酮耐候密封胶</w:t>
      </w:r>
    </w:p>
    <w:p>
      <w:pPr>
        <w:keepNext w:val="0"/>
        <w:keepLines w:val="0"/>
        <w:widowControl/>
        <w:numPr>
          <w:ilvl w:val="0"/>
          <w:numId w:val="1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环氧胶</w:t>
      </w:r>
    </w:p>
    <w:p>
      <w:pPr>
        <w:keepNext w:val="0"/>
        <w:keepLines w:val="0"/>
        <w:widowControl/>
        <w:numPr>
          <w:ilvl w:val="0"/>
          <w:numId w:val="1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丁基热熔密封胶</w:t>
      </w:r>
    </w:p>
    <w:p>
      <w:pPr>
        <w:keepNext w:val="0"/>
        <w:keepLines w:val="0"/>
        <w:widowControl/>
        <w:numPr>
          <w:ilvl w:val="0"/>
          <w:numId w:val="1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硅酮结构密封胶</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【解析】全玻幕墙面板与玻璃肋的连结胶缝必须采用硅酮结构密封胶，可以现场打注。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参见教材P162。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2"/>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高层钢结构吊装中，广泛采用的吊装方法是（  ）。</w:t>
      </w:r>
    </w:p>
    <w:p>
      <w:pPr>
        <w:keepNext w:val="0"/>
        <w:keepLines w:val="0"/>
        <w:widowControl/>
        <w:numPr>
          <w:ilvl w:val="0"/>
          <w:numId w:val="13"/>
        </w:numPr>
        <w:suppressLineNumbers w:val="0"/>
        <w:ind w:lef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综合吊装法</w:t>
      </w:r>
    </w:p>
    <w:p>
      <w:pPr>
        <w:keepNext w:val="0"/>
        <w:keepLines w:val="0"/>
        <w:widowControl/>
        <w:numPr>
          <w:ilvl w:val="0"/>
          <w:numId w:val="13"/>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单件流水法</w:t>
      </w:r>
    </w:p>
    <w:p>
      <w:pPr>
        <w:keepNext w:val="0"/>
        <w:keepLines w:val="0"/>
        <w:widowControl/>
        <w:numPr>
          <w:ilvl w:val="0"/>
          <w:numId w:val="13"/>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整体吊装法</w:t>
      </w:r>
    </w:p>
    <w:p>
      <w:pPr>
        <w:keepNext w:val="0"/>
        <w:keepLines w:val="0"/>
        <w:widowControl/>
        <w:numPr>
          <w:ilvl w:val="0"/>
          <w:numId w:val="13"/>
        </w:numPr>
        <w:suppressLineNumbers w:val="0"/>
        <w:ind w:left="0" w:leftChars="0" w:firstLine="0" w:firstLine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整体提升法</w:t>
      </w:r>
    </w:p>
    <w:p>
      <w:pPr>
        <w:keepNext w:val="0"/>
        <w:keepLines w:val="0"/>
        <w:widowControl/>
        <w:numPr>
          <w:ilvl w:val="0"/>
          <w:numId w:val="0"/>
        </w:numPr>
        <w:suppressLineNumbers w:val="0"/>
        <w:ind w:leftChars="0"/>
        <w:jc w:val="left"/>
      </w:pPr>
      <w:r>
        <w:rPr>
          <w:rFonts w:hint="eastAsia" w:ascii="宋体" w:hAnsi="宋体" w:eastAsia="宋体" w:cs="宋体"/>
          <w:kern w:val="0"/>
          <w:sz w:val="22"/>
          <w:szCs w:val="22"/>
          <w:lang w:val="en-US" w:eastAsia="zh-CN" w:bidi="ar"/>
        </w:rPr>
        <w:t>【答案】A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宋体" w:hAnsi="宋体" w:eastAsia="宋体" w:cs="宋体"/>
          <w:b w:val="0"/>
          <w:i w:val="0"/>
          <w:caps w:val="0"/>
          <w:color w:val="333333"/>
          <w:spacing w:val="8"/>
          <w:sz w:val="22"/>
          <w:szCs w:val="22"/>
          <w:shd w:val="clear" w:fill="FFFFFF"/>
        </w:rPr>
      </w:pPr>
      <w:r>
        <w:rPr>
          <w:rFonts w:hint="eastAsia" w:ascii="宋体" w:hAnsi="宋体" w:eastAsia="宋体" w:cs="宋体"/>
          <w:b w:val="0"/>
          <w:i w:val="0"/>
          <w:caps w:val="0"/>
          <w:color w:val="333333"/>
          <w:spacing w:val="8"/>
          <w:sz w:val="22"/>
          <w:szCs w:val="22"/>
          <w:shd w:val="clear" w:fill="FFFFFF"/>
        </w:rPr>
        <w:t>【解析】多层及高层钢结构吊装，在分片区的基础上，多采用综合吊装法。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参见教材P123。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14.施工现场临时用电配电箱金属箱门与金属箱件的连接材料，正确的是（  ）。A.单股铜线B.绝缘多股铜线C.编织软铜线D.铜绞线【答案】C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【解析】配电箱、开关箱的金属箱体、金属电器安装板以及电器正常不带电的金属底座、外壳等必须通过PE线端子板与PE线做电气连接，金属箱门与金属箱体必须采用编织软铜线做电气连接。参见教材P176。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15.施工现场污水排放需申领《临时排水许可证》，当地政府发证的主管部门（  ）。A.环境保护管理部门B.环境管理部门C.安全生产监督管理部门D.市政管理部门【答案】D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【解析】施工现场污水排放要与所在地县级以上人民政府市政管理部门签署污水排放许可协议，申领《临时排水许可证》。参见教材P181。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16.施工现场负责审查批准一级动火作业的（  ）。A.项目负责人B.项目生产负责人C.项目安全管理部门D.企业安全管理部门【答案】D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【解析】一级动火作业由项目负责人组织编制防火安全技术方案，填写动火申请表，报企业安全管理部门审查批准后，方可动火，如钢结构的安装焊接。参见教材P188。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17.单位工程验收时的项目组织负责人是（  ）。A.建设单位项目负责人B.施工单位项目负责人C.监理单位项目负责人D.设计单位项目负责人【答案】A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【解析】建设单位收到工程竣工报告后，应由建设单位项目负责人组织监理、施工、设计、勘察等单位项目负责人进行单位工程验收。参加教材P353。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18.根据《建筑设计防火规范》，墙面装饰材料燃烧性能等级属于A级的场所是（  ）。A.宾馆B.办公楼C.医院病房D.住宅楼【答案】C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【解析】根据表1A432012《单层、多层民用建筑内部各部位装修材料的燃烧性能等级》可得，医院病房墙面装饰材料燃烧性能等级为A级，其余三项为B1级。参见教材P369。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19.基施开挖深度8m，基坑侧壁安全等级为一级，基坑支护结构形式宜选（  ）。A.水泥土墙B.原状土放坡C.土钉墙D.排桩【答案】D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【解析】灌注桩排桩支护适用基坑侧壁安全等级为一级、二级、三级。参见教材P83。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20.用于室内装修工程的天然大理石最主要的特性是（  ）。A.属酸性石材B.质地坚硬C.吸水率高D.属碱性石材【答案】D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【解析】大理石的特性：质地较密实、抗压强度较高、吸水率低、质地较软，属碱性中硬石材。参见教材P52。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Style w:val="7"/>
          <w:rFonts w:hint="eastAsia" w:ascii="宋体" w:hAnsi="宋体" w:eastAsia="宋体" w:cs="宋体"/>
          <w:color w:val="000000"/>
          <w:kern w:val="0"/>
          <w:sz w:val="22"/>
          <w:szCs w:val="22"/>
          <w:lang w:val="en-US" w:eastAsia="zh-CN" w:bidi="ar"/>
        </w:rPr>
        <w:t>二、多项选择题（共10题，每题2分，每题的备选项中，有2个或者2个以上符合题意，至少有一个错项。错选，本题不得分；少选，所选的每个选项得0.5分）</w:t>
      </w:r>
      <w:r>
        <w:rPr>
          <w:rFonts w:hint="eastAsia" w:ascii="宋体" w:hAnsi="宋体" w:eastAsia="宋体" w:cs="宋体"/>
          <w:kern w:val="0"/>
          <w:sz w:val="22"/>
          <w:szCs w:val="22"/>
          <w:lang w:val="en-US" w:eastAsia="zh-CN" w:bidi="ar"/>
        </w:rPr>
        <w:t>21.关于疏散走道上设置防火卷帘的说法，正确的有（  ）。A.在防火卷帘的一侧设置启闭装置B.在防火卷帘的两侧设置启闭装置C.具有自动控制的功能D.具有手动控制的功能E.具有机械控制的功能【答案】BCDE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【解析】设在疏散走道上的防火卷帘应在卷帘的两侧设置启闭装置，并应具有自动、手动和机械控制的功能。参见教材P8。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22.钢筋代换时应满足构造要求有（  ）。A.裂缝宽度验算B.配筋率C.钢筋间距D.保护层厚度E.钢筋锚固长度【答案】ACDE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钢筋代换除应满足设计要求的构件承载力、最大力下的总伸长率、裂缝宽度验算以及抗震规定外，还应满足最小配筋率、钢筋间距、保护层厚度、钢筋锚固长度、接头面积百分率及搭接长度等构造要求。参见教材P107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23.关于高温天气施工的说法，正确的有（  ）。A.现场拌制砂浆随拌随用B.打密封胶时环境温度不宜超过35℃C.大体积防水混凝土浇筑入模温度不应高于30℃D.不应进行钢结构安装E.混凝土的坍落度不宜小于7Omm【答案】ABCE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【解析】高温天气可以进行钢结构安装工作。参见教材P202-204。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24.建筑安全生产事故按事故的原因和性质分为（  ）。A.生产事故B.重伤事故C.死亡事故D.轻伤事故E.环境事故【答案】AE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【解析】从建筑活动的特点及事故的原因和性质来看，建筑安全事故可以分为四类，即生产事故、质量问题、技术事故和环境事故。参见教材P287。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25.建筑施工中，垂直运输设备有（  ）。A.塔式起重机B.施工电梯C.吊篮D.物料提升架E.混凝土泵【答案】ABDE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【解析】具有垂直（竖向）提升（或降落）物料、设备和人员功能的设备（施）均可用于垂直运输作业，种类较多，垂直运输设备大致分四大类：塔式起重机、施工电梯、物料提升架、混凝土泵。参见教材P337。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26.根据控制室内环境的不同要求，属于Ⅰ类民用建筑工程的有（  ）。A.餐厅B.老年建筑C.理发店D.学校教室E.旅馆【答案】BD【解析】民用建筑工程根据控制室内环境污染的不同要求，划分为以下两类：（1）Ⅰ类民用建筑工程：住宅、医院、老年建筑、幼儿园、学校教室等民用建筑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（2）Ⅱ类民用建筑工程：办公楼、商店、旅馆、文化娱乐场所、书店、图书馆、展览馆、体育馆、公共交通等候室、餐厅、理发店等民用建筑工程。参见教材P372。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27.关于土方回填的说法，正确的有（  ）。A.回填料应控制含水率B.根据回填工期要求，确定压实遍数C.下层的压实系数试验合格后，进行上层施工D.冬期回填时，分层厚度可适当增加E.先有取样点布置图，后有实验结果表【答案】ACE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【解析】填筑厚度及压实遍数应根据土质、压实系数及压实机具确定。冬期回填时，每层铺土厚度应比常温施工时减少20%-25%。参见教材P380、P195。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28.屋面工程中使用的保温材料，必须进场复验的技术指标有（  ）。A.导热系数B.密度C.抗拉强度D.燃烧性能E.抗腐蚀性能【答案】ABD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【解析】屋面节能工程使用的保温隔热材料，进场时应对其导热系数、密度、抗压强度或压缩强度、燃烧性能进行复验，复验应为见证取样送检。参见教材P438。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suppressLineNumbers w:val="0"/>
        <w:jc w:val="left"/>
      </w:pPr>
      <w:r>
        <w:rPr>
          <w:rFonts w:hint="eastAsia" w:ascii="宋体" w:hAnsi="宋体" w:eastAsia="宋体" w:cs="宋体"/>
          <w:kern w:val="0"/>
          <w:sz w:val="22"/>
          <w:szCs w:val="22"/>
          <w:lang w:val="en-US" w:eastAsia="zh-CN" w:bidi="ar"/>
        </w:rPr>
        <w:t>29.建筑幕墙的防雷做法正确的（  ）。A.避雷接地一般每三层与均压环连接B.防雷构造连接不必进行隐蔽工程验收C.防雷连接的钢构件在完成后都应进行防锈油漆D.在有镀膜的构件上进行防雷连接应除去其镀膜层E.幕墙的金属框架应与主体结构的防雷体系可靠连接【答案】AC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【解析】防雷构造连接均应进行隐蔽工程验收。参见教材P165。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p>
    <w:p>
      <w:pPr>
        <w:keepNext w:val="0"/>
        <w:keepLines w:val="0"/>
        <w:widowControl/>
        <w:numPr>
          <w:ilvl w:val="0"/>
          <w:numId w:val="14"/>
        </w:numPr>
        <w:suppressLineNumbers w:val="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事故应急救援预案提出的技术措施和组织措施应（  ）。A.详尽B.真实C.及时D.明确E.有效【答案】ADE【解析】事故应急救援预案应提出详尽、实用、明确和有效的技术措施与组织措施。参见教材P254。</w:t>
      </w:r>
    </w:p>
    <w:p>
      <w:pPr>
        <w:keepNext w:val="0"/>
        <w:keepLines w:val="0"/>
        <w:widowControl/>
        <w:numPr>
          <w:ilvl w:val="0"/>
          <w:numId w:val="0"/>
        </w:numPr>
        <w:suppressLineNumbers w:val="0"/>
        <w:jc w:val="left"/>
        <w:rPr>
          <w:rStyle w:val="8"/>
          <w:rFonts w:hint="eastAsia"/>
          <w:lang w:val="en-US" w:eastAsia="zh-CN"/>
        </w:rPr>
      </w:pPr>
      <w:r>
        <w:rPr>
          <w:rStyle w:val="8"/>
          <w:rFonts w:hint="eastAsia"/>
          <w:lang w:val="en-US" w:eastAsia="zh-CN"/>
        </w:rPr>
        <w:t>三、案例分析题</w:t>
      </w:r>
    </w:p>
    <w:p>
      <w:pPr>
        <w:pStyle w:val="3"/>
        <w:bidi w:val="0"/>
        <w:rPr>
          <w:rStyle w:val="7"/>
          <w:rFonts w:hint="eastAsia" w:ascii="宋体" w:hAnsi="宋体" w:eastAsia="宋体" w:cs="宋体"/>
          <w:b/>
          <w:color w:val="000000"/>
          <w:kern w:val="0"/>
          <w:sz w:val="22"/>
          <w:szCs w:val="22"/>
          <w:lang w:val="en-US" w:eastAsia="zh-CN" w:bidi="ar"/>
        </w:rPr>
      </w:pPr>
      <w:r>
        <w:rPr>
          <w:rStyle w:val="7"/>
          <w:rFonts w:hint="eastAsia" w:ascii="宋体" w:hAnsi="宋体" w:eastAsia="宋体" w:cs="宋体"/>
          <w:b/>
          <w:color w:val="000000"/>
          <w:kern w:val="0"/>
          <w:sz w:val="22"/>
          <w:szCs w:val="22"/>
          <w:lang w:val="en-US" w:eastAsia="zh-CN" w:bidi="ar"/>
        </w:rPr>
        <w:t>案例（一）背景材料</w:t>
      </w:r>
    </w:p>
    <w:p>
      <w:pPr>
        <w:keepNext w:val="0"/>
        <w:keepLines w:val="0"/>
        <w:widowControl/>
        <w:numPr>
          <w:ilvl w:val="0"/>
          <w:numId w:val="0"/>
        </w:numPr>
        <w:suppressLineNumbers w:val="0"/>
        <w:jc w:val="left"/>
      </w:pPr>
      <w:r>
        <w:rPr>
          <w:rFonts w:hint="eastAsia" w:ascii="宋体" w:hAnsi="宋体" w:eastAsia="宋体" w:cs="宋体"/>
          <w:color w:val="000000"/>
          <w:kern w:val="0"/>
          <w:sz w:val="22"/>
          <w:szCs w:val="22"/>
          <w:lang w:val="en-US" w:eastAsia="zh-CN" w:bidi="ar"/>
        </w:rPr>
        <w:t>某工程项目部根据当地政府要求进行新冠疫情后复工，按照住建部《房屋市政工程复工复产指南》(建办质(2020)8号)规定，制定了《项目疫情防控措施)，其中规定有:(1)施工现场采取封闭式管理。严格施工区等“四区”分离，并设置隔离区和符合标准的隔离室:(2)根据工程规模和务工人员数量等因素，合理配备疫情防控物资;(3)现场办公场所、会议室、宿舍应保持通风，每天至少通风3次，并定期对上述重点场所进行消毒。项目部制定的《模板施工方案》中规定有:(1)模板选用15mm厚木胶合板，木枋格栅、围檩；(2)水平模板支撑采用碗扣式钢管脚手架，顶部设置可调托撑；(3)碗扣式脚手架钢管材料为Q235级，高度超过4m,模板支撑架安全等级按1级要求设计；(4)模板及其支架的设计中考虑了下列各项荷载:1)模板及其支架自重(G1)2)新浇筑混凝土自重(G2)3)钢筋自重(G3)4)新浇筑混凝土对模板侧面的压力(G4)5)施工人员及施工设备产生的荷载(Q1)6)浇筑和振捣混凝土时产生的荷载(Q2)7)泵送混凝土或不均匀堆载等附加水平荷载(Q3)8)风荷载(Q4)进行各项模板设计时，参与模板及支架承载力计算的荷载项见表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firstLine="0"/>
        <w:jc w:val="center"/>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000000"/>
          <w:spacing w:val="0"/>
          <w:sz w:val="18"/>
          <w:szCs w:val="18"/>
          <w:shd w:val="clear" w:fill="FFFFFF"/>
        </w:rPr>
        <w:t>表1参与模板及支架承载力计算的荷载项（部分）</w:t>
      </w:r>
    </w:p>
    <w:tbl>
      <w:tblPr>
        <w:tblStyle w:val="5"/>
        <w:tblW w:w="8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78"/>
        <w:gridCol w:w="4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0"/>
                <w:sz w:val="18"/>
                <w:szCs w:val="18"/>
                <w:shd w:val="clear" w:fill="FFFFFF"/>
              </w:rPr>
              <w:t>计算内容</w:t>
            </w:r>
          </w:p>
        </w:tc>
        <w:tc>
          <w:tcPr>
            <w:tcW w:w="42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0"/>
                <w:sz w:val="18"/>
                <w:szCs w:val="18"/>
                <w:shd w:val="clear" w:fill="FFFFFF"/>
              </w:rPr>
              <w:t>参与荷载项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0"/>
                <w:sz w:val="18"/>
                <w:szCs w:val="18"/>
                <w:shd w:val="clear" w:fill="FFFFFF"/>
              </w:rPr>
              <w:t>底面模板承载力</w:t>
            </w:r>
          </w:p>
        </w:tc>
        <w:tc>
          <w:tcPr>
            <w:tcW w:w="426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0"/>
                <w:sz w:val="18"/>
                <w:szCs w:val="18"/>
                <w:shd w:val="clear" w:fill="FFFFFF"/>
              </w:rPr>
              <w:t>支架水平杆及节点承载力</w:t>
            </w:r>
          </w:p>
        </w:tc>
        <w:tc>
          <w:tcPr>
            <w:tcW w:w="42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0"/>
                <w:sz w:val="18"/>
                <w:szCs w:val="18"/>
                <w:shd w:val="clear" w:fill="FFFFFF"/>
              </w:rPr>
              <w:t>G1、G2、G3、Q1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0"/>
                <w:sz w:val="18"/>
                <w:szCs w:val="18"/>
                <w:shd w:val="clear" w:fill="FFFFFF"/>
              </w:rPr>
              <w:t>支架立杆承载力</w:t>
            </w:r>
          </w:p>
        </w:tc>
        <w:tc>
          <w:tcPr>
            <w:tcW w:w="426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0"/>
                <w:sz w:val="18"/>
                <w:szCs w:val="18"/>
                <w:shd w:val="clear" w:fill="FFFFFF"/>
              </w:rPr>
              <w:t>支架结构整体稳定</w:t>
            </w:r>
          </w:p>
        </w:tc>
        <w:tc>
          <w:tcPr>
            <w:tcW w:w="426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tc>
      </w:tr>
    </w:tbl>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某部位标准层楼板模板支撑架设计剖面示意图如图1。</w:t>
      </w:r>
    </w:p>
    <w:p>
      <w:pPr>
        <w:keepNext w:val="0"/>
        <w:keepLines w:val="0"/>
        <w:widowControl/>
        <w:suppressLineNumbers w:val="0"/>
        <w:jc w:val="left"/>
        <w:rPr>
          <w:rStyle w:val="7"/>
          <w:rFonts w:hint="eastAsia" w:ascii="宋体" w:hAnsi="宋体" w:eastAsia="宋体" w:cs="宋体"/>
          <w:color w:val="000000"/>
          <w:kern w:val="0"/>
          <w:sz w:val="22"/>
          <w:szCs w:val="22"/>
          <w:lang w:val="en-US" w:eastAsia="zh-CN" w:bidi="ar"/>
        </w:rPr>
      </w:pPr>
      <w:r>
        <w:rPr>
          <w:rStyle w:val="7"/>
          <w:rFonts w:hint="eastAsia" w:ascii="宋体" w:hAnsi="宋体" w:eastAsia="宋体" w:cs="宋体"/>
          <w:color w:val="000000"/>
          <w:kern w:val="0"/>
          <w:sz w:val="22"/>
          <w:szCs w:val="22"/>
          <w:lang w:val="en-US" w:eastAsia="zh-CN" w:bidi="ar"/>
        </w:rPr>
        <w:t>问题：</w:t>
      </w:r>
    </w:p>
    <w:p>
      <w:pPr>
        <w:keepNext w:val="0"/>
        <w:keepLines w:val="0"/>
        <w:widowControl/>
        <w:numPr>
          <w:ilvl w:val="0"/>
          <w:numId w:val="15"/>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《项目疫情防控措施》规定的“四区”中除施工区外还有哪些?施工现场主要防疫物资有哪些?需要消毒的重点场所还有哪些?</w:t>
      </w:r>
    </w:p>
    <w:p>
      <w:pPr>
        <w:keepNext w:val="0"/>
        <w:keepLines w:val="0"/>
        <w:widowControl/>
        <w:numPr>
          <w:ilvl w:val="0"/>
          <w:numId w:val="15"/>
        </w:numPr>
        <w:suppressLineNumbers w:val="0"/>
        <w:ind w:left="0" w:leftChars="0" w:firstLine="0" w:firstLine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作为混凝土浇筑模板的材料种类都有哪些?(如木材)</w:t>
      </w:r>
    </w:p>
    <w:p>
      <w:pPr>
        <w:keepNext w:val="0"/>
        <w:keepLines w:val="0"/>
        <w:widowControl/>
        <w:numPr>
          <w:ilvl w:val="0"/>
          <w:numId w:val="15"/>
        </w:numPr>
        <w:suppressLineNumbers w:val="0"/>
        <w:ind w:left="0" w:leftChars="0" w:firstLine="0" w:firstLine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写出表1中其他模板与支架承载力计算内容项目的参与荷载项。(如:支架水平杆及节点承载力:G1、G2、G3、Q1)4.指出图1中模板支撑架剖面图中的错误之处。</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答案】1.(1)生活区、办公区、辅助作业区、材料堆放区。(2)额温枪、水银体温计、口罩、84消毒液、洗手液、橡胶手套。(3)门口区域(人脸识别打卡机及楼梯口处)、公共区域(门厅、楼道电梯、会议室、卫生间等区域)、中央空调区(停用)。</w:t>
      </w:r>
    </w:p>
    <w:p>
      <w:pPr>
        <w:keepNext w:val="0"/>
        <w:keepLines w:val="0"/>
        <w:widowControl/>
        <w:numPr>
          <w:ilvl w:val="0"/>
          <w:numId w:val="16"/>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钢材、木材、竹、铝合金。</w:t>
      </w:r>
    </w:p>
    <w:p>
      <w:pPr>
        <w:keepNext w:val="0"/>
        <w:keepLines w:val="0"/>
        <w:widowControl/>
        <w:numPr>
          <w:ilvl w:val="0"/>
          <w:numId w:val="16"/>
        </w:numPr>
        <w:suppressLineNumbers w:val="0"/>
        <w:ind w:left="0" w:leftChars="0" w:firstLine="0" w:firstLine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底面模板承载力:G1、G2、G3、Q2；(2)支架立杆承载力:G1、G2、G3、Q1、Q2(3)支架结构整体稳定:G1、G2、G3、G4、Q1、Q2、Q3、Q44.(1)错误一:顶层水平杆步距1800mm(6.3.5步距应通过立杆碗扣节点间距均匀设置;对安全等级I为级的模板支撑架，架体顶层两步距应比标准步距缩小至少一个节点间距)(2)错误二:立杆底部没有垫板。(3)错误三:立杆间距1800mm(6.3.6立杆间距应通过设计计算确定，并应符合下列规定:当立杆采用Q235级材质钢管时，立杆间距不应大于1.5m）(4)错误四:可调托撑螺杆伸出长度680mm(6.3.3立杆顶端可调托撑伸出顶层水平杆的悬臂长度不应超过650mm)(5)没有设置竖向斜撑杆(6.3.8模板支撑架应设置竖向斜撑杆并应符合下列规定:安全等级为I级的模板支撑架应在架体周边、内部纵向和横向每隔4m~6m各设置一道竖向斜撑杆)注:6.1.3脚手架的水平杆应按步距沿纵向和横向连续设置，不得缺失。在立杆的底部碗扣处应设置一道纵向水平杆、横向水平杆作为扫地杆，扫地杆距离地面高度不应超过400mm，水平杆和扫地杆应与相邻立杆连接牢固。</w:t>
      </w:r>
    </w:p>
    <w:p>
      <w:pPr>
        <w:pStyle w:val="3"/>
        <w:bidi w:val="0"/>
        <w:rPr>
          <w:rStyle w:val="7"/>
          <w:rFonts w:hint="eastAsia" w:ascii="宋体" w:hAnsi="宋体" w:eastAsia="宋体" w:cs="宋体"/>
          <w:b/>
          <w:color w:val="000000"/>
          <w:kern w:val="0"/>
          <w:sz w:val="22"/>
          <w:szCs w:val="22"/>
          <w:lang w:val="en-US" w:eastAsia="zh-CN" w:bidi="ar"/>
        </w:rPr>
      </w:pPr>
      <w:r>
        <w:rPr>
          <w:rStyle w:val="7"/>
          <w:rFonts w:hint="eastAsia" w:ascii="宋体" w:hAnsi="宋体" w:eastAsia="宋体" w:cs="宋体"/>
          <w:b/>
          <w:color w:val="000000"/>
          <w:kern w:val="0"/>
          <w:sz w:val="22"/>
          <w:szCs w:val="22"/>
          <w:lang w:val="en-US" w:eastAsia="zh-CN" w:bidi="ar"/>
        </w:rPr>
        <w:t>案例（二）背景材料</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某新建住宅群体工程，包含10栋装配式高层住宅,5栋现浇框架小高层公寓，1栋社区活动中心及地下车库，总建筑面积31.5万m3,开发商通过邀请招标确定甲公司为总承包施工单位。开工前，项目部综合工程设计、合同条件、现场场地分区移交、陆续开工等因素编制本工程施工组织总设计，其中施工进度总计划在项目经理领导下编制，编制过程中，项目经理发现该计划编制说明中仅有编制的依据，未体现计划编制应考虑的其他要素，要求编制人员补充。社区活动中心开工后，由项目技术负责人组织。专业工程师根据施工进度总计划编制社区活动中心施工进度计划，内部评审中项目经理提出C、G、J工作由于特殊工艺共同租赁一台施工机具，在工作B、E按计划完成的前提下，考虑该机具租赁费用较高，尽量连续施工，要求对进度计划进行调整。经调整，最终形成既满足工期要求又经济可行的进度计划。社区活动中心调整后的部分方案计划如图2。</w:t>
      </w:r>
      <w:r>
        <w:rPr>
          <w:rFonts w:hint="eastAsia" w:ascii="宋体" w:hAnsi="宋体" w:eastAsia="宋体" w:cs="宋体"/>
          <w:color w:val="000000"/>
          <w:spacing w:val="0"/>
          <w:kern w:val="0"/>
          <w:sz w:val="22"/>
          <w:szCs w:val="22"/>
          <w:lang w:val="en-US" w:eastAsia="zh-CN" w:bidi="ar"/>
        </w:rPr>
        <w:t>图2  社区活动中心施工进度计划(部分)</w:t>
      </w:r>
      <w:r>
        <w:rPr>
          <w:rFonts w:hint="eastAsia" w:ascii="宋体" w:hAnsi="宋体" w:eastAsia="宋体" w:cs="宋体"/>
          <w:color w:val="000000"/>
          <w:kern w:val="0"/>
          <w:sz w:val="22"/>
          <w:szCs w:val="22"/>
          <w:lang w:val="en-US" w:eastAsia="zh-CN" w:bidi="ar"/>
        </w:rPr>
        <w:t>公司对项目部进行月度生产检查时发现，因连续小雨影响，D工作实际进度较计划进度滞后2天，要求项目部在分析原因的基础上制定进度事后控制措施。本工程完成全部结构施工内容后，在主体结构验收前，项目部制定了结构实体检验专项方案,委托具有相应资质的检测单位在监理单位见证下对涉及混凝土结构安全的有代表性的部位进行钢筋保护层厚度等检测，检测项目全部合格。</w:t>
      </w:r>
    </w:p>
    <w:p>
      <w:pPr>
        <w:keepNext w:val="0"/>
        <w:keepLines w:val="0"/>
        <w:widowControl/>
        <w:numPr>
          <w:ilvl w:val="0"/>
          <w:numId w:val="0"/>
        </w:numPr>
        <w:suppressLineNumbers w:val="0"/>
        <w:ind w:leftChars="0"/>
        <w:jc w:val="left"/>
        <w:rPr>
          <w:rStyle w:val="7"/>
          <w:rFonts w:hint="eastAsia" w:ascii="宋体" w:hAnsi="宋体" w:eastAsia="宋体" w:cs="宋体"/>
          <w:color w:val="000000"/>
          <w:kern w:val="0"/>
          <w:sz w:val="22"/>
          <w:szCs w:val="22"/>
          <w:lang w:val="en-US" w:eastAsia="zh-CN" w:bidi="ar"/>
        </w:rPr>
      </w:pPr>
      <w:r>
        <w:rPr>
          <w:rStyle w:val="7"/>
          <w:rFonts w:hint="eastAsia" w:ascii="宋体" w:hAnsi="宋体" w:eastAsia="宋体" w:cs="宋体"/>
          <w:color w:val="000000"/>
          <w:kern w:val="0"/>
          <w:sz w:val="22"/>
          <w:szCs w:val="22"/>
          <w:lang w:val="en-US" w:eastAsia="zh-CN" w:bidi="ar"/>
        </w:rPr>
        <w:t>问题：</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1.指出背景资料中施工进度计划编制中的不妥之处。施工进度总计划编制说明还包含哪些内容?</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2.列出图2调整后有变化的逻辑关系(以工作节点表示如:①→②或②→③。计算调整后的总工期，列出关键线路(以工作名称表示如:A→D)。</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3.按照施工进度事后控制要求，社区活动中心应采取的措施有哪些?</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4.主体结构混凝土子分部包含哪些分项工程?结构实体检验还应包含哪些检测项目?</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【答案】</w:t>
      </w:r>
    </w:p>
    <w:p>
      <w:pPr>
        <w:keepNext w:val="0"/>
        <w:keepLines w:val="0"/>
        <w:widowControl/>
        <w:numPr>
          <w:ilvl w:val="0"/>
          <w:numId w:val="17"/>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(1)不妥:社区活动中心开工后，由项目负责人组织专业工程师根据施工进度总计划编制社区活动中心施工进度计划。(2)编制说明的内容还包括:假设条件，指标说明，实施重点和难点，风险估计及应对措施等。</w:t>
      </w:r>
    </w:p>
    <w:p>
      <w:pPr>
        <w:keepNext w:val="0"/>
        <w:keepLines w:val="0"/>
        <w:widowControl/>
        <w:numPr>
          <w:ilvl w:val="0"/>
          <w:numId w:val="17"/>
        </w:numPr>
        <w:suppressLineNumbers w:val="0"/>
        <w:ind w:left="0" w:leftChars="0" w:firstLine="0" w:firstLine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(1)变化的逻辑关系:④→⑥，⑦→⑧(2)4+3+4+3+2=16天关键线路:B→E→G→J-→P和B→E→G→K→P</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3.当实际进度与计划进度发生偏差时,并没有影响实际进度，在分析原因的基础上应采取以下措施:(1)制定保证总工期不突破的对策措施；(2)调整相应的施工计划，并组织协调相应的配套设施和保障措施。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4.(1)主体结构混凝土子分部包括:模板，钢筋，混凝土，预应力，现浇结构，装配式结构等分项工程。(2)混凝土结构实体检验项目包括混凝土强度、结构位置及尺寸偏差以及合同约定项目等。</w:t>
      </w:r>
    </w:p>
    <w:p>
      <w:pPr>
        <w:pStyle w:val="3"/>
        <w:bidi w:val="0"/>
        <w:rPr>
          <w:rFonts w:hint="eastAsia"/>
        </w:rPr>
      </w:pPr>
      <w:r>
        <w:rPr>
          <w:rFonts w:hint="eastAsia"/>
        </w:rPr>
        <w:t>案例三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招标文件中内容“投标人为本省一级资质证书的企业，投标保证金500.00 万”，投标有效期从3 月1日到4 月15 日。招标人对投标人提出的疑问，以书面形式回复对应的投标人。5 月17 日与中标人以1.7亿的中标价签订合同。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发包人负责采购的装配式混凝土构件，提前一个月运抵合同约定的施工现场，监理会同施工验收合格。为了节约场地，承包人将构件集中堆放，由于堆放层数过多，导致下层部分构件出现裂缝。两个月后，发包人在承包人准备安装此构件时知悉此事。发包人要求施工方检验并赔偿损失，施工方以材料早到场为由，拒绝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施工单位没有隐蔽验收直接施工，监理要求验收。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静压力桩，“先深后浅，先大后小，先长后短，先密后疏”。使用抱箍式方法接桩，接头高出地面0.8m。存在部分二类桩。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1、招投标过程中的不妥之处？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2、施工方拒绝赔偿的做法是否合理？并说明理由。施工方可获得赔偿几个月的材料保管费？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3、叠合板钢筋隐蔽验收检验项目？材料质量控制还有哪些环节？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4、施工顺序是否正确？静力桩接头不妥之处？桩基分几类？二类桩的特点？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【答案解析】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1、不妥一：投标人为本省一级资质证书的企业（1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理由：招标人以特定行政区域为中标条件;属于以不合理的条件限制、排斥潜在投标人或者投标人。（1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不妥二：投标保证金500.00 万（1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理由：投标保证金不得超过估算价格的2%且不得超过80 万（1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不妥三：5 月17 日与中标人以1.7 亿的中标价签订合同（1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理由：用在投标有效期内签订合同（1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不妥四：招标人对投标人提出的疑问，以书面形式回复对应的投标人（1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理由：招标人对投标人提出的疑问，应以书面形式回复所有投标人（1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2、1）不合理。（1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发包人提供的材料提前进场承包人应接收并妥善保管。可索要相应的保管费。因承包人保管不善造成的损失由承包人承担。（1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2）施工方可获得赔偿1 个月的材料保管费（1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3、1）叠合板钢筋隐蔽验收检验项目：钢筋的牌号、规格、数量、位置、间距、箍筋弯钩的弯折角度及平直段长度；钢筋的连接方式、接头位置、接头数量、接头面积百分率、搭接长度、锚固方式及锚固长度；预埋件、预留管线的规格、数量、位置；（2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2）建筑材料的质量控制主要体现在以下四个环节：材料的采购、材料进场试验检验、过程保管和材料使用。（2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4、1）不正确（1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静力压桩沉桩施工应按“先深后浅，先大后小，先长后短，避免密集”的原则进行。（1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2）接头高出地面0.8m 不妥，理由：啮合式、卡扣式、抱箍式方法接桩时，接头宜高出地面1~1.5m。（1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3）桩基分为四类。（1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4）Ⅱ类桩：桩身有轻微缺陷，不影响桩身结构承载力的正常发挥。（1 分）</w:t>
      </w:r>
    </w:p>
    <w:p>
      <w:pPr>
        <w:pStyle w:val="3"/>
        <w:bidi w:val="0"/>
        <w:rPr>
          <w:rFonts w:hint="eastAsia"/>
        </w:rPr>
      </w:pPr>
      <w:r>
        <w:rPr>
          <w:rFonts w:hint="eastAsia"/>
        </w:rPr>
        <w:t>案例四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招标文件里清单钢筋分项综合单价是4433 元，钢筋材料暂定价2500 元/t，工程量260t。结算时钢筋实际使用250t，业主签字确认的钢筋材料单价是3500 元/t，施工单位根据已确认的钢筋材料单价重新提交了钢筋分项的综合单价是6206.2 元。钢筋损耗率2%。增值税及附加税率11.5%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幕墙分包单位直接将竣工验收资料移交给建设单位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Microsoft YaHei UI" w:hAnsi="Microsoft YaHei UI" w:eastAsia="Microsoft YaHei UI" w:cs="Microsoft YaHei UI"/>
          <w:i w:val="0"/>
          <w:caps w:val="0"/>
          <w:color w:val="333333"/>
          <w:spacing w:val="8"/>
          <w:sz w:val="24"/>
          <w:szCs w:val="24"/>
        </w:rPr>
      </w:pPr>
      <w:r>
        <w:drawing>
          <wp:inline distT="0" distB="0" distL="114300" distR="114300">
            <wp:extent cx="5272405" cy="1210945"/>
            <wp:effectExtent l="0" t="0" r="444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2405" cy="1210945"/>
                    </a:xfrm>
                    <a:prstGeom prst="rect">
                      <a:avLst/>
                    </a:prstGeom>
                    <a:noFill/>
                    <a:ln>
                      <a:noFill/>
                    </a:ln>
                  </pic:spPr>
                </pic:pic>
              </a:graphicData>
            </a:graphic>
          </wp:inline>
        </w:drawing>
      </w:r>
      <w:r>
        <w:rPr>
          <w:rFonts w:hint="eastAsia" w:ascii="Microsoft YaHei UI" w:hAnsi="Microsoft YaHei UI" w:eastAsia="Microsoft YaHei UI" w:cs="Microsoft YaHei UI"/>
          <w:i w:val="0"/>
          <w:caps w:val="0"/>
          <w:color w:val="333333"/>
          <w:spacing w:val="8"/>
          <w:sz w:val="24"/>
          <w:szCs w:val="24"/>
          <w:bdr w:val="none" w:color="auto" w:sz="0" w:space="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土方挖运综合单价为25 元/m³，基坑开挖过程中发现一个混凝土泄洪沟，外围尺寸25×4×4（m）壁厚均为400mm，拆除综合单价为520 元/m³。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1.结算时钢筋的综合单价是多少，钢筋分项的结算价款是多少。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2.分包单位提交竣工验收资料的过程是否正确？竣工验收资料提交流程？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3.列式分析各个因素对结算价款的影响。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4.施工单位就土方挖运可向建设单位索要工程款？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【答案解析】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1、结算时钢筋的综合单价：4433+（3500-2500）×（1+2%）=5453 元/t（3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钢筋分项的结算价款：5453×2500/（1+2%）×（1+11.5%）=1520023.75 元（3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2、1）不正确。（1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理由：幕墙分包竣工验收资料应移交</w:t>
      </w:r>
      <w:bookmarkStart w:id="0" w:name="_GoBack"/>
      <w:bookmarkEnd w:id="0"/>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给总包单位。由总包移交给建设单位。（1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竣工验收资料提交程序：单位工程中的分包工程完工后，分包单位应对所承包的工程项目进行自检，并按规定程序进行验收。验收时，总包单位应派人参加。分包单位应将所分包工程的质量控制资料整理完整，并移交给总包单位。（5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3、①310×970×（1+1.5%）=305210.50（1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②332×970×（1+1.5%）=326870.60（1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③332×985×（1+1.5%）=330240.40（1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④332×985×（1+2%）=331867.20（1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产量因素对成本的影响：②-①=326870.6-05210.5=21660.10 元（2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单价因素对成本的影响：③-②=330240.40-326870.6=3369.80 元（2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损耗率对成本的影响：④-③=331867.20-330240.40=1626.80 元（2 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4、施工单位就土方挖运可向建设单位索要工程款：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Microsoft YaHei UI" w:hAnsi="Microsoft YaHei UI" w:eastAsia="Microsoft YaHei UI" w:cs="Microsoft YaHei UI"/>
          <w:i w:val="0"/>
          <w:caps w:val="0"/>
          <w:color w:val="333333"/>
          <w:spacing w:val="8"/>
          <w:sz w:val="24"/>
          <w:szCs w:val="24"/>
        </w:rPr>
      </w:pPr>
      <w:r>
        <w:rPr>
          <w:rFonts w:hint="eastAsia" w:ascii="Microsoft YaHei UI" w:hAnsi="Microsoft YaHei UI" w:eastAsia="Microsoft YaHei UI" w:cs="Microsoft YaHei UI"/>
          <w:i w:val="0"/>
          <w:caps w:val="0"/>
          <w:color w:val="333333"/>
          <w:spacing w:val="8"/>
          <w:sz w:val="21"/>
          <w:szCs w:val="21"/>
          <w:bdr w:val="none" w:color="auto" w:sz="0" w:space="0"/>
          <w:shd w:val="clear" w:fill="FFFFFF"/>
        </w:rPr>
        <w:t>[25×4×4-25×（4-0.4×2）×（4-0.4×2）]×（520-25）×（1+11.5%）=79477.2 元（5 分）</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p>
    <w:p>
      <w:pPr>
        <w:pStyle w:val="3"/>
        <w:bidi w:val="0"/>
        <w:rPr>
          <w:rStyle w:val="7"/>
          <w:rFonts w:hint="eastAsia" w:ascii="宋体" w:hAnsi="宋体" w:eastAsia="宋体" w:cs="宋体"/>
          <w:b/>
          <w:color w:val="000000"/>
          <w:spacing w:val="15"/>
          <w:kern w:val="0"/>
          <w:sz w:val="22"/>
          <w:szCs w:val="22"/>
          <w:lang w:val="en-US" w:eastAsia="zh-CN" w:bidi="ar"/>
        </w:rPr>
      </w:pPr>
      <w:r>
        <w:rPr>
          <w:rStyle w:val="7"/>
          <w:rFonts w:hint="eastAsia" w:ascii="宋体" w:hAnsi="宋体" w:eastAsia="宋体" w:cs="宋体"/>
          <w:b/>
          <w:color w:val="000000"/>
          <w:kern w:val="0"/>
          <w:sz w:val="22"/>
          <w:szCs w:val="22"/>
          <w:lang w:val="en-US" w:eastAsia="zh-CN" w:bidi="ar"/>
        </w:rPr>
        <w:t>案例(五)</w:t>
      </w:r>
      <w:r>
        <w:rPr>
          <w:rStyle w:val="7"/>
          <w:rFonts w:hint="eastAsia" w:ascii="宋体" w:hAnsi="宋体" w:eastAsia="宋体" w:cs="宋体"/>
          <w:b/>
          <w:color w:val="000000"/>
          <w:spacing w:val="15"/>
          <w:kern w:val="0"/>
          <w:sz w:val="22"/>
          <w:szCs w:val="22"/>
          <w:lang w:val="en-US" w:eastAsia="zh-CN" w:bidi="ar"/>
        </w:rPr>
        <w:t>背景资料</w:t>
      </w:r>
    </w:p>
    <w:p>
      <w:pPr>
        <w:keepNext w:val="0"/>
        <w:keepLines w:val="0"/>
        <w:widowControl/>
        <w:numPr>
          <w:ilvl w:val="0"/>
          <w:numId w:val="0"/>
        </w:numPr>
        <w:suppressLineNumbers w:val="0"/>
        <w:ind w:leftChars="0"/>
        <w:jc w:val="left"/>
      </w:pPr>
      <w:r>
        <w:rPr>
          <w:rFonts w:hint="eastAsia" w:ascii="宋体" w:hAnsi="宋体" w:eastAsia="宋体" w:cs="宋体"/>
          <w:color w:val="000000"/>
          <w:kern w:val="0"/>
          <w:sz w:val="22"/>
          <w:szCs w:val="22"/>
          <w:lang w:val="en-US" w:eastAsia="zh-CN" w:bidi="ar"/>
        </w:rPr>
        <w:t>某建筑地下2层，地上18层。框架结构。地下建筑面积0.4万m2，地上建筑面积2.1万m2。某施工单位中标后，由赵佑项目经理组织施工，施工至5层时，公司安全部叶军带队对项目进行了定期安全检查。检查过程依据标准JGJ59的相关内容进行，项目安全总监也全程参加，检测结果如表5-1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firstLine="0"/>
        <w:jc w:val="center"/>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000000"/>
          <w:spacing w:val="15"/>
          <w:sz w:val="18"/>
          <w:szCs w:val="18"/>
          <w:shd w:val="clear" w:fill="FFFFFF"/>
        </w:rPr>
        <w:t>表5-1某办公楼工程建筑</w:t>
      </w:r>
      <w:r>
        <w:rPr>
          <w:rFonts w:hint="eastAsia" w:ascii="宋体" w:hAnsi="宋体" w:eastAsia="宋体" w:cs="宋体"/>
          <w:b w:val="0"/>
          <w:i w:val="0"/>
          <w:caps w:val="0"/>
          <w:color w:val="000000"/>
          <w:spacing w:val="8"/>
          <w:sz w:val="18"/>
          <w:szCs w:val="18"/>
          <w:shd w:val="clear" w:fill="FFFFFF"/>
        </w:rPr>
        <w:t>施工</w:t>
      </w:r>
      <w:r>
        <w:rPr>
          <w:rFonts w:hint="eastAsia" w:ascii="宋体" w:hAnsi="宋体" w:eastAsia="宋体" w:cs="宋体"/>
          <w:b w:val="0"/>
          <w:i w:val="0"/>
          <w:caps w:val="0"/>
          <w:color w:val="000000"/>
          <w:spacing w:val="15"/>
          <w:sz w:val="18"/>
          <w:szCs w:val="18"/>
          <w:shd w:val="clear" w:fill="FFFFFF"/>
        </w:rPr>
        <w:t>安全检查评分汇总表</w:t>
      </w:r>
    </w:p>
    <w:tbl>
      <w:tblPr>
        <w:tblStyle w:val="5"/>
        <w:tblW w:w="8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30"/>
        <w:gridCol w:w="480"/>
        <w:gridCol w:w="458"/>
        <w:gridCol w:w="530"/>
        <w:gridCol w:w="918"/>
        <w:gridCol w:w="730"/>
        <w:gridCol w:w="530"/>
        <w:gridCol w:w="247"/>
        <w:gridCol w:w="247"/>
        <w:gridCol w:w="530"/>
        <w:gridCol w:w="265"/>
        <w:gridCol w:w="265"/>
        <w:gridCol w:w="530"/>
        <w:gridCol w:w="265"/>
        <w:gridCol w:w="265"/>
        <w:gridCol w:w="530"/>
        <w:gridCol w:w="420"/>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工程名称</w:t>
            </w: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建筑面积（万m</w:t>
            </w:r>
            <w:r>
              <w:rPr>
                <w:rFonts w:hint="eastAsia" w:ascii="宋体" w:hAnsi="宋体" w:eastAsia="宋体" w:cs="宋体"/>
                <w:b w:val="0"/>
                <w:i w:val="0"/>
                <w:caps w:val="0"/>
                <w:color w:val="000000"/>
                <w:spacing w:val="15"/>
                <w:sz w:val="18"/>
                <w:szCs w:val="18"/>
                <w:shd w:val="clear" w:fill="FFFFFF"/>
                <w:vertAlign w:val="superscript"/>
              </w:rPr>
              <w:t>2</w:t>
            </w:r>
            <w:r>
              <w:rPr>
                <w:rFonts w:hint="eastAsia" w:ascii="宋体" w:hAnsi="宋体" w:eastAsia="宋体" w:cs="宋体"/>
                <w:b w:val="0"/>
                <w:i w:val="0"/>
                <w:caps w:val="0"/>
                <w:color w:val="000000"/>
                <w:spacing w:val="15"/>
                <w:sz w:val="18"/>
                <w:szCs w:val="18"/>
                <w:shd w:val="clear" w:fill="FFFFFF"/>
              </w:rPr>
              <w:t>）</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结构类型</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总计得分</w:t>
            </w:r>
          </w:p>
        </w:tc>
        <w:tc>
          <w:tcPr>
            <w:tcW w:w="0" w:type="auto"/>
            <w:gridSpan w:val="1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检查项目内容及分值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某办公楼</w:t>
            </w:r>
          </w:p>
        </w:tc>
        <w:tc>
          <w:tcPr>
            <w:tcW w:w="0" w:type="auto"/>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（A）</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框筒结构</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安全管理</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文明施工</w:t>
            </w: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脚手架</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基坑工程</w:t>
            </w: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模板支架</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高处作业</w:t>
            </w: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施工用电</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外用电梯</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塔吊</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施工机具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Microsoft YaHei UI" w:hAnsi="Microsoft YaHei UI" w:eastAsia="Microsoft YaHei UI" w:cs="Microsoft YaHei UI"/>
                <w:b w:val="0"/>
                <w:i w:val="0"/>
                <w:caps w:val="0"/>
                <w:color w:val="333333"/>
                <w:spacing w:val="8"/>
                <w:sz w:val="25"/>
                <w:szCs w:val="25"/>
              </w:rPr>
            </w:pPr>
          </w:p>
        </w:tc>
        <w:tc>
          <w:tcPr>
            <w:tcW w:w="0" w:type="auto"/>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Microsoft YaHei UI" w:hAnsi="Microsoft YaHei UI" w:eastAsia="Microsoft YaHei UI" w:cs="Microsoft YaHei UI"/>
                <w:b w:val="0"/>
                <w:i w:val="0"/>
                <w:caps w:val="0"/>
                <w:color w:val="333333"/>
                <w:spacing w:val="8"/>
                <w:sz w:val="25"/>
                <w:szCs w:val="25"/>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Microsoft YaHei UI" w:hAnsi="Microsoft YaHei UI" w:eastAsia="Microsoft YaHei UI" w:cs="Microsoft YaHei UI"/>
                <w:b w:val="0"/>
                <w:i w:val="0"/>
                <w:caps w:val="0"/>
                <w:color w:val="333333"/>
                <w:spacing w:val="8"/>
                <w:sz w:val="25"/>
                <w:szCs w:val="25"/>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检查前总分（B）</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15</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Microsoft YaHei UI" w:hAnsi="Microsoft YaHei UI" w:eastAsia="Microsoft YaHei UI" w:cs="Microsoft YaHei UI"/>
                <w:b w:val="0"/>
                <w:i w:val="0"/>
                <w:caps w:val="0"/>
                <w:color w:val="333333"/>
                <w:spacing w:val="8"/>
                <w:sz w:val="25"/>
                <w:szCs w:val="25"/>
              </w:rPr>
            </w:pPr>
          </w:p>
        </w:tc>
        <w:tc>
          <w:tcPr>
            <w:tcW w:w="0" w:type="auto"/>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Microsoft YaHei UI" w:hAnsi="Microsoft YaHei UI" w:eastAsia="Microsoft YaHei UI" w:cs="Microsoft YaHei UI"/>
                <w:b w:val="0"/>
                <w:i w:val="0"/>
                <w:caps w:val="0"/>
                <w:color w:val="333333"/>
                <w:spacing w:val="8"/>
                <w:sz w:val="25"/>
                <w:szCs w:val="25"/>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Microsoft YaHei UI" w:hAnsi="Microsoft YaHei UI" w:eastAsia="Microsoft YaHei UI" w:cs="Microsoft YaHei UI"/>
                <w:b w:val="0"/>
                <w:i w:val="0"/>
                <w:caps w:val="0"/>
                <w:color w:val="333333"/>
                <w:spacing w:val="8"/>
                <w:sz w:val="25"/>
                <w:szCs w:val="25"/>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检查后得分（C）</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12</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7</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520" w:type="dxa"/>
            <w:gridSpan w:val="18"/>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评语：该项目安全检查总得分为（D）分，评定等级为（E）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65"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检查单位</w:t>
            </w:r>
          </w:p>
        </w:tc>
        <w:tc>
          <w:tcPr>
            <w:tcW w:w="1545"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公司安全部</w:t>
            </w:r>
          </w:p>
        </w:tc>
        <w:tc>
          <w:tcPr>
            <w:tcW w:w="73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负责人</w:t>
            </w:r>
          </w:p>
        </w:tc>
        <w:tc>
          <w:tcPr>
            <w:tcW w:w="109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叶军</w:t>
            </w:r>
          </w:p>
        </w:tc>
        <w:tc>
          <w:tcPr>
            <w:tcW w:w="1095"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受检单位</w:t>
            </w:r>
          </w:p>
        </w:tc>
        <w:tc>
          <w:tcPr>
            <w:tcW w:w="1125"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某办公楼项目部</w:t>
            </w:r>
          </w:p>
        </w:tc>
        <w:tc>
          <w:tcPr>
            <w:tcW w:w="108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项目负责人</w:t>
            </w:r>
          </w:p>
        </w:tc>
        <w:tc>
          <w:tcPr>
            <w:tcW w:w="3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赵佑</w:t>
            </w:r>
          </w:p>
        </w:tc>
        <w:tc>
          <w:tcPr>
            <w:tcW w:w="3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E</w:t>
            </w:r>
          </w:p>
        </w:tc>
      </w:tr>
    </w:tbl>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公司安全部门在年初的安全检查规划中按照相关要求明确了对项目安全检查的主要形式，包括定期安全检查，开工，复工安全检查，季节性安全检查等。确保项目施工过程中全覆盖，进入夏季后，公司项目管理部对该项目工人宿舍和食堂进行了检查。个别宿舍内床铺均为2层，住有18人，设置有生活用品专用柜，窗户为封闭式窗户，人进入，通道宽度为0.8米，食堂办理了卫生许可证成绩单炊事人员均有健康证，上岗符合个人卫生相关规定。检查后项目管理部对工人宿舍的不足提出了整改要求，井限期达标。工程竣工后，根据合同要求相关部门对该工程进行绿色建筑评价，评价指标中“生活便利”该分值低，施工单位将评分项“出行无障碍”等4项指标进行了逐一分析以便得到改善，评价分值如表5-2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firstLine="0"/>
        <w:jc w:val="center"/>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000000"/>
          <w:spacing w:val="15"/>
          <w:sz w:val="18"/>
          <w:szCs w:val="18"/>
          <w:shd w:val="clear" w:fill="FFFFFF"/>
        </w:rPr>
        <w:t>表5-2某办公楼工程绿色建筑评价分值</w:t>
      </w:r>
    </w:p>
    <w:tbl>
      <w:tblPr>
        <w:tblStyle w:val="5"/>
        <w:tblW w:w="8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0"/>
        <w:gridCol w:w="1020"/>
        <w:gridCol w:w="1020"/>
        <w:gridCol w:w="1020"/>
        <w:gridCol w:w="1020"/>
        <w:gridCol w:w="1020"/>
        <w:gridCol w:w="10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tc>
        <w:tc>
          <w:tcPr>
            <w:tcW w:w="7455"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评价指标及分值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控制项基本分值Q0</w:t>
            </w:r>
          </w:p>
        </w:tc>
        <w:tc>
          <w:tcPr>
            <w:tcW w:w="10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安全耐久Q1</w:t>
            </w:r>
          </w:p>
        </w:tc>
        <w:tc>
          <w:tcPr>
            <w:tcW w:w="10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健康舒适Q2</w:t>
            </w:r>
          </w:p>
        </w:tc>
        <w:tc>
          <w:tcPr>
            <w:tcW w:w="10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生活便利Q3</w:t>
            </w:r>
          </w:p>
        </w:tc>
        <w:tc>
          <w:tcPr>
            <w:tcW w:w="10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资源节约Q4</w:t>
            </w:r>
          </w:p>
        </w:tc>
        <w:tc>
          <w:tcPr>
            <w:tcW w:w="10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环境宜居Q5</w:t>
            </w:r>
          </w:p>
        </w:tc>
        <w:tc>
          <w:tcPr>
            <w:tcW w:w="10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提高与创新加分QA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评分值</w:t>
            </w: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400</w:t>
            </w: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90</w:t>
            </w: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80</w:t>
            </w: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75</w:t>
            </w: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80</w:t>
            </w: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80</w:t>
            </w:r>
          </w:p>
        </w:tc>
        <w:tc>
          <w:tcPr>
            <w:tcW w:w="106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pPr>
            <w:r>
              <w:rPr>
                <w:rFonts w:hint="eastAsia" w:ascii="宋体" w:hAnsi="宋体" w:eastAsia="宋体" w:cs="宋体"/>
                <w:b w:val="0"/>
                <w:i w:val="0"/>
                <w:caps w:val="0"/>
                <w:color w:val="000000"/>
                <w:spacing w:val="15"/>
                <w:sz w:val="18"/>
                <w:szCs w:val="18"/>
                <w:shd w:val="clear" w:fill="FFFFFF"/>
              </w:rPr>
              <w:t>120</w:t>
            </w:r>
          </w:p>
        </w:tc>
      </w:tr>
    </w:tbl>
    <w:p>
      <w:pPr>
        <w:keepNext w:val="0"/>
        <w:keepLines w:val="0"/>
        <w:widowControl/>
        <w:suppressLineNumbers w:val="0"/>
        <w:jc w:val="left"/>
        <w:rPr>
          <w:rStyle w:val="7"/>
          <w:rFonts w:hint="eastAsia" w:ascii="宋体" w:hAnsi="宋体" w:eastAsia="宋体" w:cs="宋体"/>
          <w:color w:val="000000"/>
          <w:kern w:val="0"/>
          <w:sz w:val="22"/>
          <w:szCs w:val="22"/>
          <w:lang w:val="en-US" w:eastAsia="zh-CN" w:bidi="ar"/>
        </w:rPr>
      </w:pPr>
      <w:r>
        <w:rPr>
          <w:rStyle w:val="7"/>
          <w:rFonts w:hint="eastAsia" w:ascii="宋体" w:hAnsi="宋体" w:eastAsia="宋体" w:cs="宋体"/>
          <w:color w:val="000000"/>
          <w:kern w:val="0"/>
          <w:sz w:val="22"/>
          <w:szCs w:val="22"/>
          <w:lang w:val="en-US" w:eastAsia="zh-CN" w:bidi="ar"/>
        </w:rPr>
        <w:t>问题：</w:t>
      </w:r>
    </w:p>
    <w:p>
      <w:pPr>
        <w:keepNext w:val="0"/>
        <w:keepLines w:val="0"/>
        <w:widowControl/>
        <w:numPr>
          <w:ilvl w:val="0"/>
          <w:numId w:val="18"/>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写出表5-1中A-F所对应内容(如A：*万mr)，施工安全评定结论分几个等级，评价依据有哪些?</w:t>
      </w:r>
    </w:p>
    <w:p>
      <w:pPr>
        <w:keepNext w:val="0"/>
        <w:keepLines w:val="0"/>
        <w:widowControl/>
        <w:numPr>
          <w:ilvl w:val="0"/>
          <w:numId w:val="18"/>
        </w:numPr>
        <w:suppressLineNumbers w:val="0"/>
        <w:ind w:left="0" w:leftChars="0" w:firstLine="0" w:firstLine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建筑工程施工安全检查还有哪些形式?</w:t>
      </w:r>
    </w:p>
    <w:p>
      <w:pPr>
        <w:keepNext w:val="0"/>
        <w:keepLines w:val="0"/>
        <w:widowControl/>
        <w:numPr>
          <w:ilvl w:val="0"/>
          <w:numId w:val="18"/>
        </w:numPr>
        <w:suppressLineNumbers w:val="0"/>
        <w:ind w:left="0" w:leftChars="0" w:firstLine="0" w:firstLine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指出工人宿舍管理的不妥之处并改正。在炊事员上岗期间，从个人卫生角度还有哪些具体管理?</w:t>
      </w:r>
    </w:p>
    <w:p>
      <w:pPr>
        <w:keepNext w:val="0"/>
        <w:keepLines w:val="0"/>
        <w:widowControl/>
        <w:numPr>
          <w:ilvl w:val="0"/>
          <w:numId w:val="18"/>
        </w:numPr>
        <w:suppressLineNumbers w:val="0"/>
        <w:ind w:left="0" w:leftChars="0" w:firstLine="0" w:firstLine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列式计算该工程绿色建筑总得分Q，该建筑属于哪个等级，还有哪些等级?生活便利评分还有什么指标?</w:t>
      </w:r>
    </w:p>
    <w:p>
      <w:pPr>
        <w:keepNext w:val="0"/>
        <w:keepLines w:val="0"/>
        <w:widowControl/>
        <w:numPr>
          <w:ilvl w:val="0"/>
          <w:numId w:val="0"/>
        </w:numPr>
        <w:suppressLineNumbers w:val="0"/>
        <w:ind w:leftChars="0"/>
        <w:jc w:val="left"/>
        <w:rPr>
          <w:rStyle w:val="7"/>
          <w:rFonts w:hint="eastAsia" w:ascii="宋体" w:hAnsi="宋体" w:eastAsia="宋体" w:cs="宋体"/>
          <w:color w:val="000000"/>
          <w:kern w:val="0"/>
          <w:sz w:val="22"/>
          <w:szCs w:val="22"/>
          <w:lang w:val="en-US" w:eastAsia="zh-CN" w:bidi="ar"/>
        </w:rPr>
      </w:pPr>
      <w:r>
        <w:rPr>
          <w:rStyle w:val="7"/>
          <w:rFonts w:hint="eastAsia" w:ascii="宋体" w:hAnsi="宋体" w:eastAsia="宋体" w:cs="宋体"/>
          <w:color w:val="000000"/>
          <w:kern w:val="0"/>
          <w:sz w:val="22"/>
          <w:szCs w:val="22"/>
          <w:lang w:val="en-US" w:eastAsia="zh-CN" w:bidi="ar"/>
        </w:rPr>
        <w:t>【答案】</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(1)A：2.5，B：100，C：72，D：80，E：优良，F：赵佑。(2)施工安全检查的评定结论分为优良、合格、不合格三个等级1)优良分项检查评分表无零分，汇总表得分值应在80分及以上。2)合格分项检查评分表无零分，汇总表得分值应在80分以下，70分及以上。3)不合格①当汇总表得分值不足70分时；②当有一分项检查评分表为零时。</w:t>
      </w:r>
    </w:p>
    <w:p>
      <w:pPr>
        <w:keepNext w:val="0"/>
        <w:keepLines w:val="0"/>
        <w:widowControl/>
        <w:numPr>
          <w:ilvl w:val="0"/>
          <w:numId w:val="0"/>
        </w:numPr>
        <w:suppressLineNumbers w:val="0"/>
        <w:ind w:leftChars="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2.日常巡查、专项检查、经常性安全检查、节假日安全检查、专业性安全检查和设备设施安全验收检查。</w:t>
      </w:r>
    </w:p>
    <w:p>
      <w:pPr>
        <w:keepNext w:val="0"/>
        <w:keepLines w:val="0"/>
        <w:widowControl/>
        <w:numPr>
          <w:ilvl w:val="0"/>
          <w:numId w:val="0"/>
        </w:numPr>
        <w:suppressLineNumbers w:val="0"/>
        <w:ind w:leftChars="0"/>
        <w:jc w:val="left"/>
      </w:pPr>
      <w:r>
        <w:rPr>
          <w:rFonts w:hint="eastAsia" w:ascii="宋体" w:hAnsi="宋体" w:eastAsia="宋体" w:cs="宋体"/>
          <w:color w:val="000000"/>
          <w:kern w:val="0"/>
          <w:sz w:val="22"/>
          <w:szCs w:val="22"/>
          <w:lang w:val="en-US" w:eastAsia="zh-CN" w:bidi="ar"/>
        </w:rPr>
        <w:t>3.(1)不妥之处一：个别宿舍住有18人正确做法：每间宿舍居住人员不得超过16人不妥之处二：通道宽度0.8m整改措施：通道宽度不得小于0.9m不妥之处三：窗户为封闭式窗户整改措施：现场宿舍必须设置可开启式窗户(2)上岗应穿戴洁净的工作服、工作帽和口罩，应保持个人卫生，不得穿工作服出食堂4.(1)(400+90+80+75+80+80+100)/100=90.5分；(2)该建筑属于三星级，还有基本级，一星级、二星级；(3)生活便利评分还有服务设施，智慧运行，物业管理指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05151"/>
    <w:multiLevelType w:val="singleLevel"/>
    <w:tmpl w:val="9FF05151"/>
    <w:lvl w:ilvl="0" w:tentative="0">
      <w:start w:val="30"/>
      <w:numFmt w:val="decimal"/>
      <w:lvlText w:val="%1."/>
      <w:lvlJc w:val="left"/>
      <w:pPr>
        <w:tabs>
          <w:tab w:val="left" w:pos="312"/>
        </w:tabs>
      </w:pPr>
    </w:lvl>
  </w:abstractNum>
  <w:abstractNum w:abstractNumId="1">
    <w:nsid w:val="A22125DB"/>
    <w:multiLevelType w:val="singleLevel"/>
    <w:tmpl w:val="A22125DB"/>
    <w:lvl w:ilvl="0" w:tentative="0">
      <w:start w:val="2"/>
      <w:numFmt w:val="decimal"/>
      <w:lvlText w:val="%1."/>
      <w:lvlJc w:val="left"/>
      <w:pPr>
        <w:tabs>
          <w:tab w:val="left" w:pos="312"/>
        </w:tabs>
      </w:pPr>
    </w:lvl>
  </w:abstractNum>
  <w:abstractNum w:abstractNumId="2">
    <w:nsid w:val="AC55D55B"/>
    <w:multiLevelType w:val="singleLevel"/>
    <w:tmpl w:val="AC55D55B"/>
    <w:lvl w:ilvl="0" w:tentative="0">
      <w:start w:val="1"/>
      <w:numFmt w:val="upperLetter"/>
      <w:lvlText w:val="%1."/>
      <w:lvlJc w:val="left"/>
      <w:pPr>
        <w:tabs>
          <w:tab w:val="left" w:pos="312"/>
        </w:tabs>
      </w:pPr>
    </w:lvl>
  </w:abstractNum>
  <w:abstractNum w:abstractNumId="3">
    <w:nsid w:val="C121BC4D"/>
    <w:multiLevelType w:val="singleLevel"/>
    <w:tmpl w:val="C121BC4D"/>
    <w:lvl w:ilvl="0" w:tentative="0">
      <w:start w:val="1"/>
      <w:numFmt w:val="decimal"/>
      <w:lvlText w:val="%1."/>
      <w:lvlJc w:val="left"/>
      <w:pPr>
        <w:tabs>
          <w:tab w:val="left" w:pos="312"/>
        </w:tabs>
      </w:pPr>
    </w:lvl>
  </w:abstractNum>
  <w:abstractNum w:abstractNumId="4">
    <w:nsid w:val="C55392A1"/>
    <w:multiLevelType w:val="singleLevel"/>
    <w:tmpl w:val="C55392A1"/>
    <w:lvl w:ilvl="0" w:tentative="0">
      <w:start w:val="1"/>
      <w:numFmt w:val="upperLetter"/>
      <w:lvlText w:val="%1."/>
      <w:lvlJc w:val="left"/>
      <w:pPr>
        <w:tabs>
          <w:tab w:val="left" w:pos="312"/>
        </w:tabs>
      </w:pPr>
    </w:lvl>
  </w:abstractNum>
  <w:abstractNum w:abstractNumId="5">
    <w:nsid w:val="CFE7AEC9"/>
    <w:multiLevelType w:val="singleLevel"/>
    <w:tmpl w:val="CFE7AEC9"/>
    <w:lvl w:ilvl="0" w:tentative="0">
      <w:start w:val="1"/>
      <w:numFmt w:val="upperLetter"/>
      <w:lvlText w:val="%1."/>
      <w:lvlJc w:val="left"/>
      <w:pPr>
        <w:tabs>
          <w:tab w:val="left" w:pos="312"/>
        </w:tabs>
      </w:pPr>
    </w:lvl>
  </w:abstractNum>
  <w:abstractNum w:abstractNumId="6">
    <w:nsid w:val="E586519C"/>
    <w:multiLevelType w:val="singleLevel"/>
    <w:tmpl w:val="E586519C"/>
    <w:lvl w:ilvl="0" w:tentative="0">
      <w:start w:val="1"/>
      <w:numFmt w:val="decimal"/>
      <w:lvlText w:val="%1."/>
      <w:lvlJc w:val="left"/>
      <w:pPr>
        <w:tabs>
          <w:tab w:val="left" w:pos="312"/>
        </w:tabs>
      </w:pPr>
    </w:lvl>
  </w:abstractNum>
  <w:abstractNum w:abstractNumId="7">
    <w:nsid w:val="F338A3AA"/>
    <w:multiLevelType w:val="singleLevel"/>
    <w:tmpl w:val="F338A3AA"/>
    <w:lvl w:ilvl="0" w:tentative="0">
      <w:start w:val="1"/>
      <w:numFmt w:val="upperLetter"/>
      <w:lvlText w:val="%1."/>
      <w:lvlJc w:val="left"/>
      <w:pPr>
        <w:tabs>
          <w:tab w:val="left" w:pos="312"/>
        </w:tabs>
      </w:pPr>
    </w:lvl>
  </w:abstractNum>
  <w:abstractNum w:abstractNumId="8">
    <w:nsid w:val="F7F57987"/>
    <w:multiLevelType w:val="singleLevel"/>
    <w:tmpl w:val="F7F57987"/>
    <w:lvl w:ilvl="0" w:tentative="0">
      <w:start w:val="1"/>
      <w:numFmt w:val="upperLetter"/>
      <w:lvlText w:val="%1."/>
      <w:lvlJc w:val="left"/>
      <w:pPr>
        <w:tabs>
          <w:tab w:val="left" w:pos="312"/>
        </w:tabs>
      </w:pPr>
    </w:lvl>
  </w:abstractNum>
  <w:abstractNum w:abstractNumId="9">
    <w:nsid w:val="0169E5FB"/>
    <w:multiLevelType w:val="singleLevel"/>
    <w:tmpl w:val="0169E5FB"/>
    <w:lvl w:ilvl="0" w:tentative="0">
      <w:start w:val="1"/>
      <w:numFmt w:val="chineseCounting"/>
      <w:suff w:val="nothing"/>
      <w:lvlText w:val="%1、"/>
      <w:lvlJc w:val="left"/>
      <w:rPr>
        <w:rFonts w:hint="eastAsia"/>
      </w:rPr>
    </w:lvl>
  </w:abstractNum>
  <w:abstractNum w:abstractNumId="10">
    <w:nsid w:val="0D4A0E0F"/>
    <w:multiLevelType w:val="singleLevel"/>
    <w:tmpl w:val="0D4A0E0F"/>
    <w:lvl w:ilvl="0" w:tentative="0">
      <w:start w:val="1"/>
      <w:numFmt w:val="upperLetter"/>
      <w:lvlText w:val="%1."/>
      <w:lvlJc w:val="left"/>
      <w:pPr>
        <w:tabs>
          <w:tab w:val="left" w:pos="312"/>
        </w:tabs>
      </w:pPr>
    </w:lvl>
  </w:abstractNum>
  <w:abstractNum w:abstractNumId="11">
    <w:nsid w:val="12CDFE00"/>
    <w:multiLevelType w:val="singleLevel"/>
    <w:tmpl w:val="12CDFE00"/>
    <w:lvl w:ilvl="0" w:tentative="0">
      <w:start w:val="1"/>
      <w:numFmt w:val="upperLetter"/>
      <w:lvlText w:val="%1."/>
      <w:lvlJc w:val="left"/>
      <w:pPr>
        <w:tabs>
          <w:tab w:val="left" w:pos="312"/>
        </w:tabs>
      </w:pPr>
    </w:lvl>
  </w:abstractNum>
  <w:abstractNum w:abstractNumId="12">
    <w:nsid w:val="2CB8E6FD"/>
    <w:multiLevelType w:val="singleLevel"/>
    <w:tmpl w:val="2CB8E6FD"/>
    <w:lvl w:ilvl="0" w:tentative="0">
      <w:start w:val="1"/>
      <w:numFmt w:val="upperLetter"/>
      <w:lvlText w:val="%1."/>
      <w:lvlJc w:val="left"/>
      <w:pPr>
        <w:tabs>
          <w:tab w:val="left" w:pos="312"/>
        </w:tabs>
      </w:pPr>
    </w:lvl>
  </w:abstractNum>
  <w:abstractNum w:abstractNumId="13">
    <w:nsid w:val="36196EA6"/>
    <w:multiLevelType w:val="singleLevel"/>
    <w:tmpl w:val="36196EA6"/>
    <w:lvl w:ilvl="0" w:tentative="0">
      <w:start w:val="1"/>
      <w:numFmt w:val="upperLetter"/>
      <w:lvlText w:val="%1."/>
      <w:lvlJc w:val="left"/>
      <w:pPr>
        <w:tabs>
          <w:tab w:val="left" w:pos="312"/>
        </w:tabs>
      </w:pPr>
    </w:lvl>
  </w:abstractNum>
  <w:abstractNum w:abstractNumId="14">
    <w:nsid w:val="3972C113"/>
    <w:multiLevelType w:val="singleLevel"/>
    <w:tmpl w:val="3972C113"/>
    <w:lvl w:ilvl="0" w:tentative="0">
      <w:start w:val="1"/>
      <w:numFmt w:val="decimal"/>
      <w:lvlText w:val="%1."/>
      <w:lvlJc w:val="left"/>
      <w:pPr>
        <w:tabs>
          <w:tab w:val="left" w:pos="312"/>
        </w:tabs>
      </w:pPr>
    </w:lvl>
  </w:abstractNum>
  <w:abstractNum w:abstractNumId="15">
    <w:nsid w:val="4F90E4B0"/>
    <w:multiLevelType w:val="singleLevel"/>
    <w:tmpl w:val="4F90E4B0"/>
    <w:lvl w:ilvl="0" w:tentative="0">
      <w:start w:val="1"/>
      <w:numFmt w:val="upperLetter"/>
      <w:lvlText w:val="%1."/>
      <w:lvlJc w:val="left"/>
      <w:pPr>
        <w:tabs>
          <w:tab w:val="left" w:pos="312"/>
        </w:tabs>
      </w:pPr>
    </w:lvl>
  </w:abstractNum>
  <w:abstractNum w:abstractNumId="16">
    <w:nsid w:val="6826C869"/>
    <w:multiLevelType w:val="singleLevel"/>
    <w:tmpl w:val="6826C869"/>
    <w:lvl w:ilvl="0" w:tentative="0">
      <w:start w:val="1"/>
      <w:numFmt w:val="upperLetter"/>
      <w:lvlText w:val="%1."/>
      <w:lvlJc w:val="left"/>
      <w:pPr>
        <w:tabs>
          <w:tab w:val="left" w:pos="312"/>
        </w:tabs>
      </w:pPr>
    </w:lvl>
  </w:abstractNum>
  <w:abstractNum w:abstractNumId="17">
    <w:nsid w:val="6AE9389C"/>
    <w:multiLevelType w:val="singleLevel"/>
    <w:tmpl w:val="6AE9389C"/>
    <w:lvl w:ilvl="0" w:tentative="0">
      <w:start w:val="1"/>
      <w:numFmt w:val="decimal"/>
      <w:lvlText w:val="%1."/>
      <w:lvlJc w:val="left"/>
      <w:pPr>
        <w:tabs>
          <w:tab w:val="left" w:pos="312"/>
        </w:tabs>
      </w:pPr>
    </w:lvl>
  </w:abstractNum>
  <w:num w:numId="1">
    <w:abstractNumId w:val="9"/>
  </w:num>
  <w:num w:numId="2">
    <w:abstractNumId w:val="14"/>
  </w:num>
  <w:num w:numId="3">
    <w:abstractNumId w:val="11"/>
  </w:num>
  <w:num w:numId="4">
    <w:abstractNumId w:val="10"/>
  </w:num>
  <w:num w:numId="5">
    <w:abstractNumId w:val="5"/>
  </w:num>
  <w:num w:numId="6">
    <w:abstractNumId w:val="7"/>
  </w:num>
  <w:num w:numId="7">
    <w:abstractNumId w:val="8"/>
  </w:num>
  <w:num w:numId="8">
    <w:abstractNumId w:val="12"/>
  </w:num>
  <w:num w:numId="9">
    <w:abstractNumId w:val="2"/>
  </w:num>
  <w:num w:numId="10">
    <w:abstractNumId w:val="16"/>
  </w:num>
  <w:num w:numId="11">
    <w:abstractNumId w:val="13"/>
  </w:num>
  <w:num w:numId="12">
    <w:abstractNumId w:val="15"/>
  </w:num>
  <w:num w:numId="13">
    <w:abstractNumId w:val="4"/>
  </w:num>
  <w:num w:numId="14">
    <w:abstractNumId w:val="0"/>
  </w:num>
  <w:num w:numId="15">
    <w:abstractNumId w:val="6"/>
  </w:num>
  <w:num w:numId="16">
    <w:abstractNumId w:val="1"/>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70743"/>
    <w:rsid w:val="1D770743"/>
    <w:rsid w:val="2F17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2 Char"/>
    <w:link w:val="2"/>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2020-09-23T01:14:00Z</dcterms:created>
  <dc:creator>WPS_1566218445</dc:creator>
  <cp:lastModifiedBy>WPS_1566218445</cp:lastModifiedBy>
  <dcterms:modified xsi:type="dcterms:W3CDTF">2020-09-23T01:36:23Z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